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DBCC" w14:textId="77777777" w:rsidR="00EA65D2" w:rsidRPr="00A91B7A" w:rsidRDefault="00EA65D2" w:rsidP="00DA3524"/>
    <w:p w14:paraId="0C5AC89A" w14:textId="77777777" w:rsidR="00EA65D2" w:rsidRPr="00A91B7A" w:rsidRDefault="00EA65D2" w:rsidP="00DA3524"/>
    <w:p w14:paraId="11CE64DC" w14:textId="77777777" w:rsidR="00EA65D2" w:rsidRPr="00A91B7A" w:rsidRDefault="00EA65D2" w:rsidP="00DA3524"/>
    <w:p w14:paraId="36000624" w14:textId="77777777" w:rsidR="00B9255D" w:rsidRDefault="00B9255D" w:rsidP="00442825">
      <w:pPr>
        <w:jc w:val="center"/>
        <w:rPr>
          <w:sz w:val="56"/>
          <w:szCs w:val="56"/>
        </w:rPr>
      </w:pPr>
    </w:p>
    <w:p w14:paraId="770E47D2" w14:textId="77777777" w:rsidR="00683BDA" w:rsidRDefault="00683BDA" w:rsidP="00442825">
      <w:pPr>
        <w:jc w:val="center"/>
        <w:rPr>
          <w:sz w:val="56"/>
          <w:szCs w:val="56"/>
        </w:rPr>
      </w:pPr>
    </w:p>
    <w:p w14:paraId="79E639E6" w14:textId="77777777" w:rsidR="00683BDA" w:rsidRPr="00A91B7A" w:rsidRDefault="00683BDA" w:rsidP="00442825">
      <w:pPr>
        <w:jc w:val="center"/>
        <w:rPr>
          <w:sz w:val="56"/>
          <w:szCs w:val="56"/>
        </w:rPr>
      </w:pPr>
    </w:p>
    <w:p w14:paraId="39F87217" w14:textId="30001C94" w:rsidR="00EA65D2" w:rsidRPr="00A91B7A" w:rsidRDefault="00354B4F" w:rsidP="00442825">
      <w:pPr>
        <w:jc w:val="center"/>
        <w:rPr>
          <w:sz w:val="56"/>
          <w:szCs w:val="56"/>
        </w:rPr>
      </w:pPr>
      <w:r w:rsidRPr="00A91B7A">
        <w:rPr>
          <w:sz w:val="56"/>
          <w:szCs w:val="56"/>
        </w:rPr>
        <w:t>CONVOCATORIA DE MOVILIDAD PARA LA DOCENCIA</w:t>
      </w:r>
      <w:r w:rsidR="00DB610D">
        <w:rPr>
          <w:sz w:val="56"/>
          <w:szCs w:val="56"/>
        </w:rPr>
        <w:t>/FORMACIÓN</w:t>
      </w:r>
      <w:r w:rsidRPr="00A91B7A">
        <w:rPr>
          <w:sz w:val="56"/>
          <w:szCs w:val="56"/>
        </w:rPr>
        <w:t xml:space="preserve"> (STA</w:t>
      </w:r>
      <w:r w:rsidR="00DB610D">
        <w:rPr>
          <w:sz w:val="56"/>
          <w:szCs w:val="56"/>
        </w:rPr>
        <w:t>/STT</w:t>
      </w:r>
      <w:r w:rsidRPr="00A91B7A">
        <w:rPr>
          <w:sz w:val="56"/>
          <w:szCs w:val="56"/>
        </w:rPr>
        <w:t>)</w:t>
      </w:r>
    </w:p>
    <w:p w14:paraId="0B3D9C1F" w14:textId="145B091A" w:rsidR="004622D7" w:rsidRPr="00A91B7A" w:rsidRDefault="004622D7" w:rsidP="00442825">
      <w:pPr>
        <w:jc w:val="center"/>
        <w:rPr>
          <w:sz w:val="56"/>
          <w:szCs w:val="56"/>
        </w:rPr>
      </w:pPr>
      <w:r w:rsidRPr="00A91B7A">
        <w:rPr>
          <w:sz w:val="56"/>
          <w:szCs w:val="56"/>
        </w:rPr>
        <w:t xml:space="preserve">CURSO </w:t>
      </w:r>
      <w:r w:rsidR="003C6B38" w:rsidRPr="00A91B7A">
        <w:rPr>
          <w:sz w:val="56"/>
          <w:szCs w:val="56"/>
        </w:rPr>
        <w:t>20</w:t>
      </w:r>
      <w:r w:rsidR="008138A3">
        <w:rPr>
          <w:sz w:val="56"/>
          <w:szCs w:val="56"/>
        </w:rPr>
        <w:t>2</w:t>
      </w:r>
      <w:r w:rsidR="003E59FF">
        <w:rPr>
          <w:sz w:val="56"/>
          <w:szCs w:val="56"/>
        </w:rPr>
        <w:t>3</w:t>
      </w:r>
      <w:r w:rsidRPr="00A91B7A">
        <w:rPr>
          <w:sz w:val="56"/>
          <w:szCs w:val="56"/>
        </w:rPr>
        <w:t>-</w:t>
      </w:r>
      <w:r w:rsidR="00635966">
        <w:rPr>
          <w:sz w:val="56"/>
          <w:szCs w:val="56"/>
        </w:rPr>
        <w:t>2</w:t>
      </w:r>
      <w:r w:rsidR="003E59FF">
        <w:rPr>
          <w:sz w:val="56"/>
          <w:szCs w:val="56"/>
        </w:rPr>
        <w:t>4</w:t>
      </w:r>
    </w:p>
    <w:p w14:paraId="559B1AD7" w14:textId="77777777" w:rsidR="00EA65D2" w:rsidRPr="00A91B7A" w:rsidRDefault="00EA65D2" w:rsidP="00DA3524"/>
    <w:p w14:paraId="3A61922E" w14:textId="77777777" w:rsidR="00EA65D2" w:rsidRPr="00A91B7A" w:rsidRDefault="00EA65D2" w:rsidP="00DA3524"/>
    <w:p w14:paraId="4C31D403" w14:textId="77777777" w:rsidR="00EA65D2" w:rsidRPr="00A91B7A" w:rsidRDefault="00EA65D2" w:rsidP="00DA3524"/>
    <w:p w14:paraId="2E9F671C" w14:textId="77777777" w:rsidR="00EA65D2" w:rsidRPr="00A91B7A" w:rsidRDefault="00EA65D2" w:rsidP="00DA3524"/>
    <w:p w14:paraId="344365DA" w14:textId="77777777" w:rsidR="00EA65D2" w:rsidRPr="00A91B7A" w:rsidRDefault="00EA65D2" w:rsidP="00DA3524"/>
    <w:p w14:paraId="18A73D61" w14:textId="77777777" w:rsidR="00EA65D2" w:rsidRPr="00A91B7A" w:rsidRDefault="00EA65D2" w:rsidP="00DA3524"/>
    <w:p w14:paraId="62EA7C44" w14:textId="77777777" w:rsidR="00EA65D2" w:rsidRPr="00A91B7A" w:rsidRDefault="00EA65D2" w:rsidP="00DA3524"/>
    <w:p w14:paraId="58AE2839" w14:textId="77777777" w:rsidR="00EA65D2" w:rsidRPr="00A91B7A" w:rsidRDefault="00EA65D2" w:rsidP="00DA3524"/>
    <w:p w14:paraId="2C4A05A6" w14:textId="77777777" w:rsidR="00EA65D2" w:rsidRPr="00A91B7A" w:rsidRDefault="00EA65D2" w:rsidP="00DA3524"/>
    <w:p w14:paraId="5A86182C" w14:textId="01E73469" w:rsidR="00837838" w:rsidRPr="00A91B7A" w:rsidRDefault="00E021F5" w:rsidP="00DA3524">
      <w:pPr>
        <w:pStyle w:val="Prrafodelista"/>
        <w:rPr>
          <w:b/>
        </w:rPr>
      </w:pPr>
      <w:r w:rsidRPr="00A91B7A">
        <w:rPr>
          <w:b/>
        </w:rPr>
        <w:t>BASES DE LA CONVOCATORIA DE MOVILIDAD PARA LA DOCENCIA</w:t>
      </w:r>
      <w:r w:rsidR="002F0B6A">
        <w:rPr>
          <w:b/>
        </w:rPr>
        <w:t>/FORMACIÓN</w:t>
      </w:r>
      <w:r w:rsidR="00C97E4F" w:rsidRPr="00A91B7A">
        <w:rPr>
          <w:b/>
        </w:rPr>
        <w:t xml:space="preserve"> BAJO EL </w:t>
      </w:r>
      <w:r w:rsidR="002C4A5B" w:rsidRPr="00A91B7A">
        <w:rPr>
          <w:b/>
        </w:rPr>
        <w:t xml:space="preserve">PROGRAMA </w:t>
      </w:r>
      <w:r w:rsidR="00C97E4F" w:rsidRPr="00A91B7A">
        <w:rPr>
          <w:b/>
        </w:rPr>
        <w:t>ERASMUS+</w:t>
      </w:r>
    </w:p>
    <w:p w14:paraId="655A428C" w14:textId="2424259E" w:rsidR="00603B76" w:rsidRPr="00A91B7A" w:rsidRDefault="00837838" w:rsidP="00A035EE">
      <w:pPr>
        <w:spacing w:after="360" w:line="360" w:lineRule="auto"/>
        <w:ind w:left="709"/>
      </w:pPr>
      <w:r w:rsidRPr="00A91B7A">
        <w:t xml:space="preserve">La Universidad Europea del Atlántico </w:t>
      </w:r>
      <w:r w:rsidR="00DB64AF" w:rsidRPr="00A91B7A">
        <w:t>tiene como uno de sus objetivos</w:t>
      </w:r>
      <w:r w:rsidRPr="00A91B7A">
        <w:t xml:space="preserve"> </w:t>
      </w:r>
      <w:r w:rsidR="00DB64AF" w:rsidRPr="00A91B7A">
        <w:t>clave promover</w:t>
      </w:r>
      <w:r w:rsidRPr="00A91B7A">
        <w:t xml:space="preserve"> la participación de </w:t>
      </w:r>
      <w:r w:rsidR="00DB64AF" w:rsidRPr="00A91B7A">
        <w:t>todos los</w:t>
      </w:r>
      <w:r w:rsidRPr="00A91B7A">
        <w:t xml:space="preserve"> miembros de la comunidad universitaria en programas de intercambio, cooperación y movilidad entre </w:t>
      </w:r>
      <w:r w:rsidR="00DB64AF" w:rsidRPr="00A91B7A">
        <w:t>los distin</w:t>
      </w:r>
      <w:r w:rsidR="00BD3C43" w:rsidRPr="00A91B7A">
        <w:t xml:space="preserve">tos países que conforman la UE </w:t>
      </w:r>
      <w:r w:rsidR="00DB64AF" w:rsidRPr="00A91B7A">
        <w:t>a través de acuer</w:t>
      </w:r>
      <w:r w:rsidR="00BD3C43" w:rsidRPr="00A91B7A">
        <w:t xml:space="preserve">dos Erasmus. </w:t>
      </w:r>
      <w:r w:rsidR="00251C55" w:rsidRPr="00A91B7A">
        <w:t>El programa europeo</w:t>
      </w:r>
      <w:r w:rsidRPr="00A91B7A">
        <w:t xml:space="preserve"> Erasmus+ </w:t>
      </w:r>
      <w:r w:rsidR="00BD3C43" w:rsidRPr="00A91B7A">
        <w:t>para movilidad con el fin de docencia</w:t>
      </w:r>
      <w:r w:rsidR="006801BF">
        <w:t xml:space="preserve"> (STA)</w:t>
      </w:r>
      <w:r w:rsidRPr="00A91B7A">
        <w:t xml:space="preserve"> </w:t>
      </w:r>
      <w:r w:rsidR="002F0B6A">
        <w:t xml:space="preserve">y el de formación (STT) </w:t>
      </w:r>
      <w:r w:rsidRPr="00A91B7A">
        <w:t>está</w:t>
      </w:r>
      <w:r w:rsidR="002F0B6A">
        <w:t>n</w:t>
      </w:r>
      <w:r w:rsidRPr="00A91B7A">
        <w:t xml:space="preserve"> </w:t>
      </w:r>
      <w:r w:rsidR="00251C55" w:rsidRPr="00A91B7A">
        <w:t>enfocado</w:t>
      </w:r>
      <w:r w:rsidR="002F0B6A">
        <w:t>s</w:t>
      </w:r>
      <w:r w:rsidRPr="00A91B7A">
        <w:t xml:space="preserve"> a </w:t>
      </w:r>
      <w:r w:rsidR="00BD3C43" w:rsidRPr="00A91B7A">
        <w:t>personal docente e investigador</w:t>
      </w:r>
      <w:r w:rsidRPr="00A91B7A">
        <w:t xml:space="preserve"> de centros de </w:t>
      </w:r>
      <w:r w:rsidR="00251C55" w:rsidRPr="00A91B7A">
        <w:t>educación</w:t>
      </w:r>
      <w:r w:rsidRPr="00A91B7A">
        <w:t xml:space="preserve"> superior </w:t>
      </w:r>
      <w:r w:rsidR="00251C55" w:rsidRPr="00A91B7A">
        <w:t>con el objetivo de</w:t>
      </w:r>
      <w:r w:rsidRPr="00A91B7A">
        <w:t xml:space="preserve"> </w:t>
      </w:r>
      <w:r w:rsidR="00251C55" w:rsidRPr="00A91B7A">
        <w:t>realizar</w:t>
      </w:r>
      <w:r w:rsidRPr="00A91B7A">
        <w:t xml:space="preserve"> estancias </w:t>
      </w:r>
      <w:r w:rsidR="00BD3C43" w:rsidRPr="00A91B7A">
        <w:t xml:space="preserve">cortas el extranjero que incluya la realización de actividades </w:t>
      </w:r>
      <w:r w:rsidR="002F0B6A">
        <w:t xml:space="preserve">docentes y/o </w:t>
      </w:r>
      <w:r w:rsidR="00BD3C43" w:rsidRPr="00A91B7A">
        <w:t>formativas</w:t>
      </w:r>
      <w:r w:rsidRPr="00A91B7A">
        <w:t xml:space="preserve">. </w:t>
      </w:r>
    </w:p>
    <w:p w14:paraId="41B7FD7B" w14:textId="301EDF5C" w:rsidR="00442825" w:rsidRPr="00A91B7A" w:rsidRDefault="00DB4533" w:rsidP="0098217F">
      <w:pPr>
        <w:pStyle w:val="Ttulo1"/>
        <w:spacing w:after="360" w:line="360" w:lineRule="auto"/>
        <w:contextualSpacing w:val="0"/>
      </w:pPr>
      <w:r w:rsidRPr="00A91B7A">
        <w:t>OBJETO</w:t>
      </w:r>
    </w:p>
    <w:p w14:paraId="6E810F27" w14:textId="288F9DD7" w:rsidR="00AB1F6E" w:rsidRPr="00A91B7A" w:rsidRDefault="00B64DCF" w:rsidP="0098217F">
      <w:pPr>
        <w:pStyle w:val="Prrafodelista"/>
        <w:spacing w:line="360" w:lineRule="auto"/>
        <w:contextualSpacing w:val="0"/>
      </w:pPr>
      <w:r w:rsidRPr="00A91B7A">
        <w:t xml:space="preserve">El objetivo general de la presente convocatoria es impulsar la movilidad internacional del Profesorado de la Universidad Europea del Atlántico, como parte integral de la estrategia de internacionalización de la </w:t>
      </w:r>
      <w:r w:rsidR="00C97E4F" w:rsidRPr="00A91B7A">
        <w:t>institución</w:t>
      </w:r>
      <w:r w:rsidRPr="00A91B7A">
        <w:t xml:space="preserve">. </w:t>
      </w:r>
      <w:r w:rsidR="00C97E4F" w:rsidRPr="00A91B7A">
        <w:t>Con este objetivo</w:t>
      </w:r>
      <w:r w:rsidRPr="00A91B7A">
        <w:t xml:space="preserve">, se convocan </w:t>
      </w:r>
      <w:r w:rsidR="00FA35AE">
        <w:t xml:space="preserve">un máximo de 8 </w:t>
      </w:r>
      <w:r w:rsidRPr="00A91B7A">
        <w:t>plazas para realizar estancias de corta duración, con fines docentes</w:t>
      </w:r>
      <w:r w:rsidR="002F0B6A">
        <w:t xml:space="preserve"> y/o de formación</w:t>
      </w:r>
      <w:r w:rsidRPr="00A91B7A">
        <w:t xml:space="preserve">, en otras instituciones de educación superior con las que la Universidad tenga suscrito un acuerdo de intercambio de Profesorado </w:t>
      </w:r>
      <w:r w:rsidR="00FA35AE">
        <w:t>durante</w:t>
      </w:r>
      <w:r w:rsidRPr="00A91B7A">
        <w:t xml:space="preserve"> el </w:t>
      </w:r>
      <w:r w:rsidR="008138A3">
        <w:t>año</w:t>
      </w:r>
      <w:r w:rsidRPr="00A91B7A">
        <w:t xml:space="preserve"> </w:t>
      </w:r>
      <w:r w:rsidR="00D94F1F">
        <w:t xml:space="preserve">académico </w:t>
      </w:r>
      <w:r w:rsidRPr="00A91B7A">
        <w:t>20</w:t>
      </w:r>
      <w:r w:rsidR="008138A3">
        <w:t>2</w:t>
      </w:r>
      <w:r w:rsidR="003E59FF">
        <w:t>3</w:t>
      </w:r>
      <w:r w:rsidR="00D94F1F">
        <w:t>-2</w:t>
      </w:r>
      <w:r w:rsidR="003E59FF">
        <w:t>4</w:t>
      </w:r>
      <w:r w:rsidRPr="00A91B7A">
        <w:t>.</w:t>
      </w:r>
    </w:p>
    <w:p w14:paraId="682F5077" w14:textId="25A51EF7" w:rsidR="00AB1F6E" w:rsidRPr="00A91B7A" w:rsidRDefault="00AB1F6E" w:rsidP="0098217F">
      <w:pPr>
        <w:pStyle w:val="Prrafodelista"/>
        <w:spacing w:line="360" w:lineRule="auto"/>
        <w:contextualSpacing w:val="0"/>
      </w:pPr>
      <w:r w:rsidRPr="00A91B7A">
        <w:t xml:space="preserve">La estancia en modalidad de movilidad docente persigue </w:t>
      </w:r>
      <w:r w:rsidR="00BD3D6A" w:rsidRPr="00A91B7A">
        <w:t>varias</w:t>
      </w:r>
      <w:r w:rsidRPr="00A91B7A">
        <w:t xml:space="preserve"> finalidad</w:t>
      </w:r>
      <w:r w:rsidR="00BD3D6A" w:rsidRPr="00A91B7A">
        <w:t>es</w:t>
      </w:r>
      <w:r w:rsidRPr="00A91B7A">
        <w:t>:</w:t>
      </w:r>
    </w:p>
    <w:p w14:paraId="7165F1FD" w14:textId="07484390" w:rsidR="00A035EE" w:rsidRPr="00A91B7A" w:rsidRDefault="00AB1F6E" w:rsidP="0098217F">
      <w:pPr>
        <w:pStyle w:val="Prrafodelista"/>
        <w:numPr>
          <w:ilvl w:val="0"/>
          <w:numId w:val="16"/>
        </w:numPr>
        <w:spacing w:line="360" w:lineRule="auto"/>
        <w:ind w:left="1570" w:hanging="357"/>
        <w:contextualSpacing w:val="0"/>
      </w:pPr>
      <w:r w:rsidRPr="00A91B7A">
        <w:t xml:space="preserve">Impartir docencia en </w:t>
      </w:r>
      <w:r w:rsidR="00411C39">
        <w:t>asignaturas</w:t>
      </w:r>
      <w:r w:rsidRPr="00A91B7A">
        <w:t xml:space="preserve"> incluidas dentro de su área de </w:t>
      </w:r>
      <w:r w:rsidR="00411C39">
        <w:t>especialización</w:t>
      </w:r>
      <w:r w:rsidRPr="00A91B7A">
        <w:t xml:space="preserve">. De este modo, el profesorado de la Universidad Europea del Atlántico tendrá ocasión de transmitir conocimientos a los estudiantes de otras </w:t>
      </w:r>
      <w:r w:rsidR="00411C39">
        <w:t>instituciones de educación superior</w:t>
      </w:r>
      <w:r w:rsidRPr="00A91B7A">
        <w:t xml:space="preserve">, </w:t>
      </w:r>
      <w:r w:rsidR="00411C39">
        <w:t>ayudando</w:t>
      </w:r>
      <w:r w:rsidRPr="00A91B7A">
        <w:t xml:space="preserve"> en la difusión internacional de ésta a la vez </w:t>
      </w:r>
      <w:r w:rsidR="00411C39">
        <w:t>que aumenta el conocimiento respecto de la institución que le recibe, de su profesorado y de las peculiaridades de las carreras que se enseñan.</w:t>
      </w:r>
    </w:p>
    <w:p w14:paraId="32727084" w14:textId="017A0767" w:rsidR="00AB1F6E" w:rsidRPr="00A91B7A" w:rsidRDefault="00AB1F6E" w:rsidP="0098217F">
      <w:pPr>
        <w:pStyle w:val="Prrafodelista"/>
        <w:numPr>
          <w:ilvl w:val="0"/>
          <w:numId w:val="16"/>
        </w:numPr>
        <w:spacing w:line="360" w:lineRule="auto"/>
        <w:ind w:left="1570" w:hanging="357"/>
        <w:contextualSpacing w:val="0"/>
      </w:pPr>
      <w:r w:rsidRPr="00A91B7A">
        <w:t xml:space="preserve">Realizar </w:t>
      </w:r>
      <w:r w:rsidR="00672B63">
        <w:t>labores</w:t>
      </w:r>
      <w:r w:rsidRPr="00A91B7A">
        <w:t xml:space="preserve"> y gestiones </w:t>
      </w:r>
      <w:r w:rsidR="00672B63">
        <w:t>que conduzcan</w:t>
      </w:r>
      <w:r w:rsidRPr="00A91B7A">
        <w:t xml:space="preserve"> a </w:t>
      </w:r>
      <w:r w:rsidR="00672B63">
        <w:t>una mejora de</w:t>
      </w:r>
      <w:r w:rsidRPr="00A91B7A">
        <w:t xml:space="preserve"> la movilidad internacional de nuestros estudiantes, ya que el profesorado </w:t>
      </w:r>
      <w:r w:rsidR="00672B63">
        <w:t xml:space="preserve">que haya desarrollado periodos de movilidad estará en predisposición de </w:t>
      </w:r>
      <w:r w:rsidRPr="00A91B7A">
        <w:t xml:space="preserve">aportar información académica e institucional de </w:t>
      </w:r>
      <w:r w:rsidRPr="00A91B7A">
        <w:lastRenderedPageBreak/>
        <w:t xml:space="preserve">primera mano sobre la universidad </w:t>
      </w:r>
      <w:r w:rsidR="00672B63">
        <w:t>que lo ha recibido</w:t>
      </w:r>
      <w:r w:rsidRPr="00A91B7A">
        <w:t xml:space="preserve"> que redun</w:t>
      </w:r>
      <w:r w:rsidR="00672B63">
        <w:t>de en una mayor calidad de los programas de movilidad para estudiantes</w:t>
      </w:r>
      <w:r w:rsidRPr="00A91B7A">
        <w:t xml:space="preserve"> y la posibilidad de </w:t>
      </w:r>
      <w:r w:rsidR="00672B63">
        <w:t xml:space="preserve">desarrollar </w:t>
      </w:r>
      <w:r w:rsidRPr="00A91B7A">
        <w:t>dobles titulaciones internacionales.</w:t>
      </w:r>
    </w:p>
    <w:p w14:paraId="4A3CC77F" w14:textId="021F0B43" w:rsidR="0098217F" w:rsidRPr="00A91B7A" w:rsidRDefault="0098217F" w:rsidP="006A7FBC">
      <w:pPr>
        <w:pStyle w:val="Prrafodelista"/>
        <w:numPr>
          <w:ilvl w:val="0"/>
          <w:numId w:val="16"/>
        </w:numPr>
        <w:spacing w:line="360" w:lineRule="auto"/>
        <w:ind w:left="1570" w:hanging="357"/>
        <w:contextualSpacing w:val="0"/>
      </w:pPr>
      <w:r w:rsidRPr="00A91B7A">
        <w:t>Beneficiar a los estudiantes de la Universidad Europea del Atlántico que no hayan participado en acciones de movilidad</w:t>
      </w:r>
      <w:r w:rsidR="00BD3D6A" w:rsidRPr="00A91B7A">
        <w:t xml:space="preserve">, gracias a la experiencia y conocimientos adquiridos por nuestro personal docente mediante la participación en estas acciones de </w:t>
      </w:r>
      <w:r w:rsidR="0069301D" w:rsidRPr="00A91B7A">
        <w:t>movilidad,</w:t>
      </w:r>
      <w:r w:rsidR="00BD3D6A" w:rsidRPr="00A91B7A">
        <w:t xml:space="preserve"> así como a la visita</w:t>
      </w:r>
      <w:r w:rsidR="00551082" w:rsidRPr="00A91B7A">
        <w:t xml:space="preserve"> de personal docente de otras instituciones.</w:t>
      </w:r>
    </w:p>
    <w:p w14:paraId="09B05D7B" w14:textId="2DE79693" w:rsidR="00551082" w:rsidRDefault="00551082" w:rsidP="006A7FBC">
      <w:pPr>
        <w:pStyle w:val="Prrafodelista"/>
        <w:numPr>
          <w:ilvl w:val="0"/>
          <w:numId w:val="16"/>
        </w:numPr>
        <w:spacing w:line="360" w:lineRule="auto"/>
        <w:contextualSpacing w:val="0"/>
      </w:pPr>
      <w:r w:rsidRPr="00A91B7A">
        <w:t>Motivar a los estudiantes y al personal para que se realicen period</w:t>
      </w:r>
      <w:r w:rsidR="007316E8" w:rsidRPr="00A91B7A">
        <w:t>os de movilidad</w:t>
      </w:r>
      <w:r w:rsidRPr="00A91B7A">
        <w:t>.</w:t>
      </w:r>
    </w:p>
    <w:p w14:paraId="288848D7" w14:textId="0F1FFE58" w:rsidR="001E1C5F" w:rsidRPr="00A91B7A" w:rsidRDefault="001E1C5F" w:rsidP="006A7FBC">
      <w:pPr>
        <w:pStyle w:val="Prrafodelista"/>
        <w:numPr>
          <w:ilvl w:val="0"/>
          <w:numId w:val="16"/>
        </w:numPr>
        <w:spacing w:line="360" w:lineRule="auto"/>
        <w:contextualSpacing w:val="0"/>
      </w:pPr>
      <w:r>
        <w:t xml:space="preserve">Realizar actividades formativas en la institución de destino, con el objetivo de adquirir nuevos conocimientos, buenas prácticas, </w:t>
      </w:r>
      <w:r w:rsidR="00BD4BCC">
        <w:t>etc.</w:t>
      </w:r>
      <w:r>
        <w:t>…</w:t>
      </w:r>
    </w:p>
    <w:p w14:paraId="5FCBD328" w14:textId="233AB363" w:rsidR="00965707" w:rsidRPr="00A91B7A" w:rsidRDefault="00965707" w:rsidP="006A7FBC">
      <w:pPr>
        <w:pStyle w:val="Ttulo1"/>
        <w:spacing w:line="360" w:lineRule="auto"/>
        <w:contextualSpacing w:val="0"/>
      </w:pPr>
      <w:r w:rsidRPr="00A91B7A">
        <w:t xml:space="preserve">Requisitos </w:t>
      </w:r>
      <w:r w:rsidR="006F1180" w:rsidRPr="00A91B7A">
        <w:t>generales</w:t>
      </w:r>
    </w:p>
    <w:p w14:paraId="0CC46F27" w14:textId="25FE5404" w:rsidR="00965707" w:rsidRPr="00A91B7A" w:rsidRDefault="00965707" w:rsidP="006A7FBC">
      <w:pPr>
        <w:pStyle w:val="Prrafodelista"/>
        <w:numPr>
          <w:ilvl w:val="0"/>
          <w:numId w:val="17"/>
        </w:numPr>
        <w:spacing w:line="360" w:lineRule="auto"/>
        <w:contextualSpacing w:val="0"/>
      </w:pPr>
      <w:r w:rsidRPr="00A91B7A">
        <w:t>Tener la nacionalidad española, ser nacional de un país de la Unión Europea o de cualquier otro Estado que pa</w:t>
      </w:r>
      <w:r w:rsidR="00AF3DCF" w:rsidRPr="00A91B7A">
        <w:t>rticipe en el Programa Erasmus+</w:t>
      </w:r>
      <w:r w:rsidRPr="00A91B7A">
        <w:t xml:space="preserve"> o ser oficialmente reconocido por España como refugiado, apátrida o residente permanente.</w:t>
      </w:r>
    </w:p>
    <w:p w14:paraId="7E0B588D" w14:textId="0BC2A310" w:rsidR="006F1180" w:rsidRPr="00A91B7A" w:rsidRDefault="00965707" w:rsidP="006A7FBC">
      <w:pPr>
        <w:pStyle w:val="Prrafodelista"/>
        <w:numPr>
          <w:ilvl w:val="0"/>
          <w:numId w:val="17"/>
        </w:numPr>
        <w:spacing w:line="360" w:lineRule="auto"/>
        <w:contextualSpacing w:val="0"/>
      </w:pPr>
      <w:r w:rsidRPr="00A91B7A">
        <w:t xml:space="preserve">El personal docente solicitante debe constar en el Plan de Ordenación Docente de la Universidad Europea del Atlántico </w:t>
      </w:r>
      <w:r w:rsidR="008138A3">
        <w:t xml:space="preserve">durante el curso académico </w:t>
      </w:r>
      <w:r w:rsidRPr="00A91B7A">
        <w:t>20</w:t>
      </w:r>
      <w:r w:rsidR="008138A3">
        <w:t>2</w:t>
      </w:r>
      <w:r w:rsidR="003E59FF">
        <w:t>3</w:t>
      </w:r>
      <w:r w:rsidRPr="00A91B7A">
        <w:t>-20</w:t>
      </w:r>
      <w:r w:rsidR="00635966">
        <w:t>2</w:t>
      </w:r>
      <w:r w:rsidR="003E59FF">
        <w:t>4</w:t>
      </w:r>
      <w:r w:rsidRPr="00A91B7A">
        <w:t xml:space="preserve">, manteniendo el vínculo con la </w:t>
      </w:r>
      <w:r w:rsidR="00AF3DCF" w:rsidRPr="00A91B7A">
        <w:t>institución</w:t>
      </w:r>
      <w:r w:rsidRPr="00A91B7A">
        <w:t xml:space="preserve"> tanto en el momento en el que realiza la solic</w:t>
      </w:r>
      <w:r w:rsidR="00AF3DCF" w:rsidRPr="00A91B7A">
        <w:t>itud como en el de la estancia.</w:t>
      </w:r>
    </w:p>
    <w:p w14:paraId="62242973" w14:textId="2CCDF1FB" w:rsidR="00965707" w:rsidRPr="00A91B7A" w:rsidRDefault="00965707" w:rsidP="006A7FBC">
      <w:pPr>
        <w:pStyle w:val="Prrafodelista"/>
        <w:numPr>
          <w:ilvl w:val="0"/>
          <w:numId w:val="17"/>
        </w:numPr>
        <w:spacing w:line="360" w:lineRule="auto"/>
        <w:contextualSpacing w:val="0"/>
      </w:pPr>
      <w:r w:rsidRPr="00A91B7A">
        <w:t xml:space="preserve"> </w:t>
      </w:r>
      <w:r w:rsidR="00635966">
        <w:t xml:space="preserve">Se priorizará que el mayor número de docentes puedan participar en el programa, por lo que sólo podrá realizarse, de manera general, una única movilidad durante la presente </w:t>
      </w:r>
      <w:r w:rsidR="00C129D3">
        <w:t>convocatoria</w:t>
      </w:r>
      <w:r w:rsidR="00635966">
        <w:t>.</w:t>
      </w:r>
      <w:r w:rsidR="001E1C5F">
        <w:t xml:space="preserve"> En todo caso, y siempre y cuando haya disponibilidades de plazas y se hayan cubierto el resto de primeras solicitudes podrán realizarse más de una movilidad. </w:t>
      </w:r>
    </w:p>
    <w:p w14:paraId="18E675DD" w14:textId="58EF4720" w:rsidR="00832B71" w:rsidRPr="00A91B7A" w:rsidRDefault="00832B71" w:rsidP="006A7FBC">
      <w:pPr>
        <w:pStyle w:val="Prrafodelista"/>
        <w:numPr>
          <w:ilvl w:val="0"/>
          <w:numId w:val="17"/>
        </w:numPr>
        <w:spacing w:line="360" w:lineRule="auto"/>
        <w:contextualSpacing w:val="0"/>
      </w:pPr>
      <w:r w:rsidRPr="00A91B7A">
        <w:t xml:space="preserve">Antes </w:t>
      </w:r>
      <w:r w:rsidR="00890817">
        <w:t>del comienzo del periodo de movilidad</w:t>
      </w:r>
      <w:r w:rsidRPr="00A91B7A">
        <w:t xml:space="preserve">, deberá </w:t>
      </w:r>
      <w:r w:rsidR="00890817">
        <w:t>haberse firmado</w:t>
      </w:r>
      <w:r w:rsidRPr="00A91B7A">
        <w:t xml:space="preserve"> un Convenio de Financiación en el que se reflejará la ayuda máxima que se podrá percibir. El período máximo financiado será de 5 días docentes/formativos debidamente justificados.</w:t>
      </w:r>
    </w:p>
    <w:p w14:paraId="0C0876CC" w14:textId="051A994A" w:rsidR="006F1180" w:rsidRDefault="00D20F5C" w:rsidP="006A7FBC">
      <w:pPr>
        <w:pStyle w:val="Prrafodelista"/>
        <w:numPr>
          <w:ilvl w:val="0"/>
          <w:numId w:val="17"/>
        </w:numPr>
        <w:spacing w:line="360" w:lineRule="auto"/>
        <w:contextualSpacing w:val="0"/>
      </w:pPr>
      <w:r w:rsidRPr="00A91B7A">
        <w:t xml:space="preserve">Estar en posesión, antes del inicio de la estancia, de un </w:t>
      </w:r>
      <w:r w:rsidR="002E476B">
        <w:t>Acuerdo de M</w:t>
      </w:r>
      <w:r w:rsidRPr="00A91B7A">
        <w:t xml:space="preserve">ovilidad </w:t>
      </w:r>
      <w:r w:rsidRPr="002918AE">
        <w:t xml:space="preserve">(ANEXO </w:t>
      </w:r>
      <w:r w:rsidR="006801BF" w:rsidRPr="002918AE">
        <w:t>I</w:t>
      </w:r>
      <w:r w:rsidRPr="002918AE">
        <w:t xml:space="preserve">) </w:t>
      </w:r>
      <w:r w:rsidRPr="00A91B7A">
        <w:t>firmado por ambas instituciones</w:t>
      </w:r>
    </w:p>
    <w:p w14:paraId="4C9494CE" w14:textId="46D40327" w:rsidR="009E151A" w:rsidRPr="00A91B7A" w:rsidRDefault="009E151A" w:rsidP="006A7FBC">
      <w:pPr>
        <w:pStyle w:val="Prrafodelista"/>
        <w:numPr>
          <w:ilvl w:val="0"/>
          <w:numId w:val="17"/>
        </w:numPr>
        <w:spacing w:line="360" w:lineRule="auto"/>
        <w:contextualSpacing w:val="0"/>
      </w:pPr>
      <w:r>
        <w:lastRenderedPageBreak/>
        <w:t>Estar en posesión de la tarjeta sanitaria europea y de un seguro médico adecuado que cubra</w:t>
      </w:r>
      <w:r w:rsidRPr="009E151A">
        <w:t xml:space="preserve"> los costes de enfermedad, accidentes, responsabilidad civil y repatriación</w:t>
      </w:r>
      <w:r>
        <w:t>.</w:t>
      </w:r>
    </w:p>
    <w:p w14:paraId="07AD2C7D" w14:textId="7C8B592C" w:rsidR="007316E8" w:rsidRPr="00A91B7A" w:rsidRDefault="006F1180" w:rsidP="006A7FBC">
      <w:pPr>
        <w:pStyle w:val="Ttulo1"/>
        <w:spacing w:line="360" w:lineRule="auto"/>
        <w:contextualSpacing w:val="0"/>
      </w:pPr>
      <w:r w:rsidRPr="00A91B7A">
        <w:t>Requisitos en cuanto a d</w:t>
      </w:r>
      <w:r w:rsidR="007316E8" w:rsidRPr="00A91B7A">
        <w:t>uración de la estancia</w:t>
      </w:r>
    </w:p>
    <w:p w14:paraId="2AD3BEDB" w14:textId="365FC46F" w:rsidR="00501426" w:rsidRPr="00A91B7A" w:rsidRDefault="00501426" w:rsidP="006A7FBC">
      <w:pPr>
        <w:spacing w:line="360" w:lineRule="auto"/>
      </w:pPr>
      <w:r w:rsidRPr="00A91B7A">
        <w:t>De manera general, la estancia docente</w:t>
      </w:r>
      <w:r w:rsidR="001E1C5F">
        <w:t>/formativa</w:t>
      </w:r>
      <w:r w:rsidRPr="00A91B7A">
        <w:t xml:space="preserve"> tendrá una duración de cinco días hábiles completos con el objeto de que la movilidad suponga una </w:t>
      </w:r>
      <w:r w:rsidR="00890817">
        <w:t>contribución</w:t>
      </w:r>
      <w:r w:rsidRPr="00A91B7A">
        <w:t xml:space="preserve"> </w:t>
      </w:r>
      <w:r w:rsidR="00890817">
        <w:t>relevante</w:t>
      </w:r>
      <w:r w:rsidRPr="00A91B7A">
        <w:t xml:space="preserve"> </w:t>
      </w:r>
      <w:r w:rsidR="00890817">
        <w:t>a la actividad</w:t>
      </w:r>
      <w:r w:rsidRPr="00A91B7A">
        <w:t xml:space="preserve"> docente y a la vida académica internacional de la institución de acogida</w:t>
      </w:r>
      <w:r w:rsidR="001E1C5F">
        <w:t xml:space="preserve"> o suponga un impacto real a la formación del personal enviado</w:t>
      </w:r>
      <w:r w:rsidRPr="00A91B7A">
        <w:t xml:space="preserve">. </w:t>
      </w:r>
      <w:r w:rsidR="00890817">
        <w:t>No se considerarán como tales</w:t>
      </w:r>
      <w:r w:rsidRPr="00A91B7A">
        <w:t xml:space="preserve"> sábados y domingos, ni los días de inicio y final de la estancia en los que los justificantes de transporte indiquen horarios incompatibles con el desarrollo de la docencia. No se incluirán para este cómputo los días de viaje de ida y vuelta. El período de estancia deberá coincidir, asimismo, con el período lectivo en la universidad de destino.</w:t>
      </w:r>
    </w:p>
    <w:p w14:paraId="2942A8E0" w14:textId="528E22D2" w:rsidR="007F4647" w:rsidRPr="00A91B7A" w:rsidRDefault="002B2927" w:rsidP="006A7FBC">
      <w:pPr>
        <w:spacing w:line="360" w:lineRule="auto"/>
      </w:pPr>
      <w:r w:rsidRPr="00A91B7A">
        <w:t xml:space="preserve">Las estancias docentes realizadas bajo esta convocatoria deberán finalizar por completo (días de viaje incluidos) </w:t>
      </w:r>
      <w:r w:rsidR="00501426" w:rsidRPr="00A91B7A">
        <w:t xml:space="preserve">antes del </w:t>
      </w:r>
      <w:r w:rsidR="00D94F1F">
        <w:t>3</w:t>
      </w:r>
      <w:r w:rsidR="003E59FF">
        <w:t>0</w:t>
      </w:r>
      <w:r w:rsidR="00501426" w:rsidRPr="00A91B7A">
        <w:t xml:space="preserve"> de </w:t>
      </w:r>
      <w:r w:rsidR="003E59FF">
        <w:t>septiembre</w:t>
      </w:r>
      <w:r w:rsidR="00501426" w:rsidRPr="00A91B7A">
        <w:t xml:space="preserve"> de 20</w:t>
      </w:r>
      <w:r w:rsidR="00635966">
        <w:t>2</w:t>
      </w:r>
      <w:r w:rsidR="003E59FF">
        <w:t>4</w:t>
      </w:r>
      <w:r w:rsidR="00501426" w:rsidRPr="00A91B7A">
        <w:t>.</w:t>
      </w:r>
    </w:p>
    <w:p w14:paraId="1D8E72A4" w14:textId="7CD0CD73" w:rsidR="002B2927" w:rsidRPr="00A91B7A" w:rsidRDefault="002B2927" w:rsidP="006A7FBC">
      <w:pPr>
        <w:pStyle w:val="Ttulo1"/>
        <w:spacing w:line="360" w:lineRule="auto"/>
        <w:contextualSpacing w:val="0"/>
      </w:pPr>
      <w:r w:rsidRPr="00A91B7A">
        <w:t>Requisitos de la universidad de destino</w:t>
      </w:r>
    </w:p>
    <w:p w14:paraId="3311EE9A" w14:textId="74940009" w:rsidR="002B2927" w:rsidRPr="00A91B7A" w:rsidRDefault="002B2927" w:rsidP="006A7FBC">
      <w:pPr>
        <w:spacing w:line="360" w:lineRule="auto"/>
      </w:pPr>
      <w:r w:rsidRPr="00A91B7A">
        <w:t>La movilidad solo podrá realizarse hacia una universidad o institución de educación superior titular de una Carta Erasmus</w:t>
      </w:r>
      <w:r w:rsidR="00CF33E7" w:rsidRPr="00A91B7A">
        <w:t xml:space="preserve"> de Educación Superior</w:t>
      </w:r>
      <w:r w:rsidRPr="00A91B7A">
        <w:t>, que tenga un acu</w:t>
      </w:r>
      <w:r w:rsidR="00CF33E7" w:rsidRPr="00A91B7A">
        <w:t>erdo de movilidad de profesores para la docencia en vigor durante el curso académico 20</w:t>
      </w:r>
      <w:r w:rsidR="008138A3">
        <w:t>2</w:t>
      </w:r>
      <w:r w:rsidR="003E59FF">
        <w:t>3</w:t>
      </w:r>
      <w:r w:rsidR="00635966">
        <w:t>/202</w:t>
      </w:r>
      <w:r w:rsidR="003E59FF">
        <w:t>4</w:t>
      </w:r>
      <w:r w:rsidR="00CF33E7" w:rsidRPr="00A91B7A">
        <w:t xml:space="preserve"> con </w:t>
      </w:r>
      <w:r w:rsidR="000F2E98">
        <w:t>la</w:t>
      </w:r>
      <w:r w:rsidR="00CF33E7" w:rsidRPr="00A91B7A">
        <w:t xml:space="preserve"> Universidad Europea del Atlántico</w:t>
      </w:r>
      <w:r w:rsidR="00B32732" w:rsidRPr="00A91B7A">
        <w:t xml:space="preserve"> </w:t>
      </w:r>
      <w:r w:rsidR="00B32732" w:rsidRPr="002918AE">
        <w:t xml:space="preserve">(ANEXO </w:t>
      </w:r>
      <w:r w:rsidR="00890817" w:rsidRPr="002918AE">
        <w:t>II</w:t>
      </w:r>
      <w:r w:rsidR="00F052D3">
        <w:t>I</w:t>
      </w:r>
      <w:r w:rsidR="00B32732" w:rsidRPr="002918AE">
        <w:t>)</w:t>
      </w:r>
      <w:r w:rsidR="006E7AD3" w:rsidRPr="002918AE">
        <w:t>.</w:t>
      </w:r>
    </w:p>
    <w:p w14:paraId="59AB0C9E" w14:textId="4AA45EB7" w:rsidR="006E7AD3" w:rsidRPr="00A91B7A" w:rsidRDefault="006E7AD3" w:rsidP="006A7FBC">
      <w:pPr>
        <w:spacing w:line="360" w:lineRule="auto"/>
      </w:pPr>
      <w:r w:rsidRPr="00A91B7A">
        <w:t xml:space="preserve">En caso de que se manifieste especial interés en realizar una estancia con una universidad con la que aún no se dispone de acuerdo, el docente puede proponer a la Oficina de Relaciones Internacionales </w:t>
      </w:r>
      <w:r w:rsidR="00C65345" w:rsidRPr="00A91B7A">
        <w:t xml:space="preserve">iniciar los trámites para su firma. </w:t>
      </w:r>
      <w:r w:rsidR="008138A3">
        <w:t>E</w:t>
      </w:r>
      <w:r w:rsidR="00C65345" w:rsidRPr="00A91B7A">
        <w:t>l acuerdo interinstitucional debe necesariamente existir antes del comienzo efectivo de la movilidad.</w:t>
      </w:r>
    </w:p>
    <w:p w14:paraId="24A13FF1" w14:textId="56BA7903" w:rsidR="003877CC" w:rsidRPr="00A91B7A" w:rsidRDefault="003877CC" w:rsidP="006A7FBC">
      <w:pPr>
        <w:pStyle w:val="Ttulo1"/>
        <w:spacing w:line="360" w:lineRule="auto"/>
        <w:contextualSpacing w:val="0"/>
      </w:pPr>
      <w:r w:rsidRPr="00A91B7A">
        <w:t>Requisitos de la docencia impartida</w:t>
      </w:r>
      <w:r w:rsidR="00F052D3">
        <w:t xml:space="preserve"> (modalidad STA)</w:t>
      </w:r>
    </w:p>
    <w:p w14:paraId="23BEF572" w14:textId="53CB199E" w:rsidR="003877CC" w:rsidRPr="00A91B7A" w:rsidRDefault="003877CC" w:rsidP="006A7FBC">
      <w:pPr>
        <w:spacing w:line="360" w:lineRule="auto"/>
      </w:pPr>
      <w:r w:rsidRPr="00A91B7A">
        <w:t xml:space="preserve">La </w:t>
      </w:r>
      <w:r w:rsidR="00883534">
        <w:t>actividad docente</w:t>
      </w:r>
      <w:r w:rsidRPr="00A91B7A">
        <w:t xml:space="preserve"> que </w:t>
      </w:r>
      <w:r w:rsidR="00883534">
        <w:t>realice</w:t>
      </w:r>
      <w:r w:rsidRPr="00A91B7A">
        <w:t xml:space="preserve"> el profesorado durante su </w:t>
      </w:r>
      <w:r w:rsidR="00883534">
        <w:t>periodo de movilidad</w:t>
      </w:r>
      <w:r w:rsidRPr="00A91B7A">
        <w:t xml:space="preserve"> deberá formar parte integrante de un programa de estudios conducente a un título oficial en la </w:t>
      </w:r>
      <w:r w:rsidR="00883534">
        <w:t>institución</w:t>
      </w:r>
      <w:r w:rsidRPr="00A91B7A">
        <w:t xml:space="preserve"> de acogida y deberá reflejarse en </w:t>
      </w:r>
      <w:r w:rsidR="003E2AF6">
        <w:t>el Acuerdo de Movilidad</w:t>
      </w:r>
      <w:r w:rsidRPr="00A91B7A">
        <w:t xml:space="preserve"> acordado entre ambas instituciones con anterioridad al inicio de la estancia. El </w:t>
      </w:r>
      <w:r w:rsidR="003E2AF6">
        <w:t>Acuerdo de Movilidad</w:t>
      </w:r>
      <w:r w:rsidRPr="00A91B7A">
        <w:t xml:space="preserve"> (Mobility Agreement) </w:t>
      </w:r>
      <w:r w:rsidR="00883534">
        <w:t xml:space="preserve">es un </w:t>
      </w:r>
      <w:r w:rsidR="00883534">
        <w:lastRenderedPageBreak/>
        <w:t>documento esencial que debe estar totalmente acordad</w:t>
      </w:r>
      <w:r w:rsidR="003E2AF6">
        <w:t>o</w:t>
      </w:r>
      <w:r w:rsidR="00883534">
        <w:t xml:space="preserve"> y firmado por las partes involucradas antes del comienzo de la movilidad</w:t>
      </w:r>
      <w:r w:rsidRPr="00A91B7A">
        <w:t>.</w:t>
      </w:r>
    </w:p>
    <w:p w14:paraId="591EC64F" w14:textId="727E3F78" w:rsidR="003877CC" w:rsidRPr="00A91B7A" w:rsidRDefault="003877CC" w:rsidP="006A7FBC">
      <w:pPr>
        <w:spacing w:line="360" w:lineRule="auto"/>
      </w:pPr>
      <w:r w:rsidRPr="00A91B7A">
        <w:t xml:space="preserve">Se tendrán que impartir </w:t>
      </w:r>
      <w:r w:rsidR="00883534">
        <w:t>un</w:t>
      </w:r>
      <w:r w:rsidRPr="00A91B7A">
        <w:t xml:space="preserve"> mínimo 8 horas </w:t>
      </w:r>
      <w:r w:rsidR="00A102E4">
        <w:t>de docencia</w:t>
      </w:r>
      <w:r w:rsidRPr="00A91B7A">
        <w:t>, independientemente de la duración de la estancia</w:t>
      </w:r>
      <w:r w:rsidR="00F052D3">
        <w:t>.</w:t>
      </w:r>
    </w:p>
    <w:p w14:paraId="66857278" w14:textId="3BD4E44B" w:rsidR="00CF33E7" w:rsidRPr="00A91B7A" w:rsidRDefault="00D20F5C" w:rsidP="006A7FBC">
      <w:pPr>
        <w:pStyle w:val="Ttulo1"/>
        <w:spacing w:line="360" w:lineRule="auto"/>
        <w:contextualSpacing w:val="0"/>
      </w:pPr>
      <w:r w:rsidRPr="00A91B7A">
        <w:t>Ayuda económica y pago</w:t>
      </w:r>
    </w:p>
    <w:p w14:paraId="7146EC95" w14:textId="251267B7" w:rsidR="00D20F5C" w:rsidRPr="00A91B7A" w:rsidRDefault="00643122" w:rsidP="006A7FBC">
      <w:pPr>
        <w:spacing w:line="360" w:lineRule="auto"/>
      </w:pPr>
      <w:r w:rsidRPr="00A91B7A">
        <w:t>El personal docente recibirá una cantidad de ayuda europea, gestionada a través de la Agencia Nacional Española SEPIE</w:t>
      </w:r>
      <w:r w:rsidR="00D23A4D" w:rsidRPr="00A91B7A">
        <w:t xml:space="preserve">, </w:t>
      </w:r>
      <w:r w:rsidR="00A102E4">
        <w:t xml:space="preserve">en concepto de ayudas de </w:t>
      </w:r>
      <w:r w:rsidRPr="00A91B7A">
        <w:t xml:space="preserve">viaje y </w:t>
      </w:r>
      <w:r w:rsidR="00A102E4">
        <w:t>estancia</w:t>
      </w:r>
      <w:r w:rsidRPr="00A91B7A">
        <w:t xml:space="preserve"> durante el período de </w:t>
      </w:r>
      <w:r w:rsidR="00A102E4">
        <w:t>movilidad</w:t>
      </w:r>
      <w:r w:rsidRPr="00A91B7A">
        <w:t xml:space="preserve"> en otro país atendiendo a los siguientes criterios:</w:t>
      </w:r>
    </w:p>
    <w:p w14:paraId="2E72F737" w14:textId="2855461F" w:rsidR="00D23A4D" w:rsidRPr="00A91B7A" w:rsidRDefault="00FF051F" w:rsidP="006A7FBC">
      <w:pPr>
        <w:spacing w:line="360" w:lineRule="auto"/>
      </w:pPr>
      <w:r w:rsidRPr="00A91B7A">
        <w:rPr>
          <w:u w:val="single"/>
        </w:rPr>
        <w:t>Ayuda de v</w:t>
      </w:r>
      <w:r w:rsidR="00D23A4D" w:rsidRPr="00A91B7A">
        <w:rPr>
          <w:u w:val="single"/>
        </w:rPr>
        <w:t>iaje</w:t>
      </w:r>
      <w:r w:rsidR="006154DA" w:rsidRPr="00A91B7A">
        <w:t>:</w:t>
      </w:r>
    </w:p>
    <w:p w14:paraId="4BD3BADC" w14:textId="6B3953B5" w:rsidR="006154DA" w:rsidRPr="00A91B7A" w:rsidRDefault="006154DA" w:rsidP="006A7FBC">
      <w:pPr>
        <w:spacing w:line="360" w:lineRule="auto"/>
      </w:pPr>
      <w:r w:rsidRPr="00A91B7A">
        <w:t xml:space="preserve">La </w:t>
      </w:r>
      <w:r w:rsidR="00A102E4">
        <w:t>ayuda de viaje del personal estará fundamentada</w:t>
      </w:r>
      <w:r w:rsidRPr="00A91B7A">
        <w:t xml:space="preserve"> en la distancia entre su lugar de trabajo y el lugar en el que se desarrolle la actividad </w:t>
      </w:r>
      <w:r w:rsidR="00A102E4">
        <w:t>docente</w:t>
      </w:r>
      <w:r w:rsidRPr="00A91B7A">
        <w:t>, según lo que se indica a continuación:</w:t>
      </w:r>
    </w:p>
    <w:p w14:paraId="54DBDF73" w14:textId="77777777" w:rsidR="009411DF" w:rsidRPr="00A91B7A" w:rsidRDefault="009411DF" w:rsidP="006A7FBC">
      <w:pPr>
        <w:spacing w:line="360" w:lineRule="auto"/>
      </w:pPr>
    </w:p>
    <w:tbl>
      <w:tblPr>
        <w:tblW w:w="0" w:type="auto"/>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4"/>
        <w:gridCol w:w="3997"/>
      </w:tblGrid>
      <w:tr w:rsidR="00E86A31" w:rsidRPr="00E86A31" w14:paraId="22A26658" w14:textId="77777777" w:rsidTr="00E5253A">
        <w:trPr>
          <w:trHeight w:val="251"/>
        </w:trPr>
        <w:tc>
          <w:tcPr>
            <w:tcW w:w="4004" w:type="dxa"/>
            <w:shd w:val="clear" w:color="auto" w:fill="BEBEBE"/>
          </w:tcPr>
          <w:p w14:paraId="088491E2" w14:textId="77777777" w:rsidR="006154DA" w:rsidRPr="00E86A31" w:rsidRDefault="006154DA" w:rsidP="009411DF">
            <w:pPr>
              <w:spacing w:after="0" w:line="360" w:lineRule="auto"/>
              <w:rPr>
                <w:b/>
              </w:rPr>
            </w:pPr>
            <w:r w:rsidRPr="00E86A31">
              <w:rPr>
                <w:b/>
              </w:rPr>
              <w:t>Distancia en kilómetros</w:t>
            </w:r>
          </w:p>
        </w:tc>
        <w:tc>
          <w:tcPr>
            <w:tcW w:w="3997" w:type="dxa"/>
            <w:shd w:val="clear" w:color="auto" w:fill="BEBEBE"/>
          </w:tcPr>
          <w:p w14:paraId="60DD3E0D" w14:textId="77777777" w:rsidR="006154DA" w:rsidRPr="00E86A31" w:rsidRDefault="006154DA" w:rsidP="009411DF">
            <w:pPr>
              <w:spacing w:after="0" w:line="360" w:lineRule="auto"/>
              <w:rPr>
                <w:b/>
              </w:rPr>
            </w:pPr>
            <w:r w:rsidRPr="00E86A31">
              <w:rPr>
                <w:b/>
              </w:rPr>
              <w:t>Cantidad a percibir</w:t>
            </w:r>
          </w:p>
        </w:tc>
      </w:tr>
      <w:tr w:rsidR="00E86A31" w:rsidRPr="00E86A31" w14:paraId="073C0DF2" w14:textId="77777777" w:rsidTr="00E5253A">
        <w:trPr>
          <w:trHeight w:val="230"/>
        </w:trPr>
        <w:tc>
          <w:tcPr>
            <w:tcW w:w="4004" w:type="dxa"/>
          </w:tcPr>
          <w:p w14:paraId="4B3D0DD8" w14:textId="71FE8F9C" w:rsidR="006154DA" w:rsidRPr="00E86A31" w:rsidRDefault="006154DA" w:rsidP="009411DF">
            <w:pPr>
              <w:spacing w:after="0" w:line="360" w:lineRule="auto"/>
            </w:pPr>
            <w:r w:rsidRPr="00E86A31">
              <w:t xml:space="preserve">Entre </w:t>
            </w:r>
            <w:r w:rsidR="00A47C8B" w:rsidRPr="00E86A31">
              <w:t>10 y 99 km</w:t>
            </w:r>
          </w:p>
        </w:tc>
        <w:tc>
          <w:tcPr>
            <w:tcW w:w="3997" w:type="dxa"/>
          </w:tcPr>
          <w:p w14:paraId="0048E313" w14:textId="53013FEF" w:rsidR="006154DA" w:rsidRPr="00E86A31" w:rsidRDefault="00A47C8B" w:rsidP="009411DF">
            <w:pPr>
              <w:spacing w:after="0" w:line="360" w:lineRule="auto"/>
            </w:pPr>
            <w:r w:rsidRPr="00E86A31">
              <w:t>20</w:t>
            </w:r>
            <w:r w:rsidR="006154DA" w:rsidRPr="00E86A31">
              <w:t>€ por participante</w:t>
            </w:r>
          </w:p>
        </w:tc>
      </w:tr>
      <w:tr w:rsidR="00E86A31" w:rsidRPr="00E86A31" w14:paraId="051FCC49" w14:textId="77777777" w:rsidTr="00E5253A">
        <w:trPr>
          <w:trHeight w:val="230"/>
        </w:trPr>
        <w:tc>
          <w:tcPr>
            <w:tcW w:w="4004" w:type="dxa"/>
          </w:tcPr>
          <w:p w14:paraId="25EFBFAE" w14:textId="42BB3C3B" w:rsidR="006154DA" w:rsidRPr="00E86A31" w:rsidRDefault="006154DA" w:rsidP="009411DF">
            <w:pPr>
              <w:spacing w:after="0" w:line="360" w:lineRule="auto"/>
            </w:pPr>
            <w:r w:rsidRPr="00E86A31">
              <w:t xml:space="preserve">Entre </w:t>
            </w:r>
            <w:r w:rsidR="00A47C8B" w:rsidRPr="00E86A31">
              <w:t>100</w:t>
            </w:r>
            <w:r w:rsidRPr="00E86A31">
              <w:t xml:space="preserve"> y </w:t>
            </w:r>
            <w:r w:rsidR="00A47C8B" w:rsidRPr="00E86A31">
              <w:t>499</w:t>
            </w:r>
            <w:r w:rsidRPr="00E86A31">
              <w:t xml:space="preserve"> km</w:t>
            </w:r>
          </w:p>
        </w:tc>
        <w:tc>
          <w:tcPr>
            <w:tcW w:w="3997" w:type="dxa"/>
          </w:tcPr>
          <w:p w14:paraId="799931FE" w14:textId="0EC63585" w:rsidR="006154DA" w:rsidRPr="00E86A31" w:rsidRDefault="00A47C8B" w:rsidP="009411DF">
            <w:pPr>
              <w:spacing w:after="0" w:line="360" w:lineRule="auto"/>
            </w:pPr>
            <w:r w:rsidRPr="00E86A31">
              <w:t>180</w:t>
            </w:r>
            <w:r w:rsidR="006154DA" w:rsidRPr="00E86A31">
              <w:t>€ por participante</w:t>
            </w:r>
          </w:p>
        </w:tc>
      </w:tr>
      <w:tr w:rsidR="00E86A31" w:rsidRPr="00E86A31" w14:paraId="1A9B2D65" w14:textId="77777777" w:rsidTr="00E5253A">
        <w:trPr>
          <w:trHeight w:val="230"/>
        </w:trPr>
        <w:tc>
          <w:tcPr>
            <w:tcW w:w="4004" w:type="dxa"/>
          </w:tcPr>
          <w:p w14:paraId="2FECB0B6" w14:textId="1B3A90F1" w:rsidR="006154DA" w:rsidRPr="00E86A31" w:rsidRDefault="006154DA" w:rsidP="009411DF">
            <w:pPr>
              <w:spacing w:after="0" w:line="360" w:lineRule="auto"/>
            </w:pPr>
            <w:r w:rsidRPr="00E86A31">
              <w:t xml:space="preserve">Entre </w:t>
            </w:r>
            <w:r w:rsidR="00A47C8B" w:rsidRPr="00E86A31">
              <w:t>500</w:t>
            </w:r>
            <w:r w:rsidRPr="00E86A31">
              <w:t xml:space="preserve"> y </w:t>
            </w:r>
            <w:r w:rsidR="00A47C8B" w:rsidRPr="00E86A31">
              <w:t>1999</w:t>
            </w:r>
            <w:r w:rsidRPr="00E86A31">
              <w:t xml:space="preserve"> km</w:t>
            </w:r>
          </w:p>
        </w:tc>
        <w:tc>
          <w:tcPr>
            <w:tcW w:w="3997" w:type="dxa"/>
          </w:tcPr>
          <w:p w14:paraId="264405B1" w14:textId="1BE69168" w:rsidR="006154DA" w:rsidRPr="00E86A31" w:rsidRDefault="00A47C8B" w:rsidP="009411DF">
            <w:pPr>
              <w:spacing w:after="0" w:line="360" w:lineRule="auto"/>
            </w:pPr>
            <w:r w:rsidRPr="00E86A31">
              <w:t>275</w:t>
            </w:r>
            <w:r w:rsidR="006154DA" w:rsidRPr="00E86A31">
              <w:t>€ por participante</w:t>
            </w:r>
          </w:p>
        </w:tc>
      </w:tr>
      <w:tr w:rsidR="00E86A31" w:rsidRPr="00E86A31" w14:paraId="255DA72B" w14:textId="77777777" w:rsidTr="00E5253A">
        <w:trPr>
          <w:trHeight w:val="230"/>
        </w:trPr>
        <w:tc>
          <w:tcPr>
            <w:tcW w:w="4004" w:type="dxa"/>
          </w:tcPr>
          <w:p w14:paraId="4E294A37" w14:textId="64F65E8A" w:rsidR="006154DA" w:rsidRPr="00E86A31" w:rsidRDefault="006154DA" w:rsidP="009411DF">
            <w:pPr>
              <w:spacing w:after="0" w:line="360" w:lineRule="auto"/>
            </w:pPr>
            <w:r w:rsidRPr="00E86A31">
              <w:t xml:space="preserve">Entre </w:t>
            </w:r>
            <w:r w:rsidR="00A47C8B" w:rsidRPr="00E86A31">
              <w:t>2000</w:t>
            </w:r>
            <w:r w:rsidRPr="00E86A31">
              <w:t xml:space="preserve"> y </w:t>
            </w:r>
            <w:r w:rsidR="00A47C8B" w:rsidRPr="00E86A31">
              <w:t>2</w:t>
            </w:r>
            <w:r w:rsidRPr="00E86A31">
              <w:t>999 km</w:t>
            </w:r>
          </w:p>
        </w:tc>
        <w:tc>
          <w:tcPr>
            <w:tcW w:w="3997" w:type="dxa"/>
          </w:tcPr>
          <w:p w14:paraId="2111079C" w14:textId="116234BD" w:rsidR="006154DA" w:rsidRPr="00E86A31" w:rsidRDefault="0026497B" w:rsidP="009411DF">
            <w:pPr>
              <w:spacing w:after="0" w:line="360" w:lineRule="auto"/>
            </w:pPr>
            <w:r w:rsidRPr="00E86A31">
              <w:t>360</w:t>
            </w:r>
            <w:r w:rsidR="006154DA" w:rsidRPr="00E86A31">
              <w:t>€ por participante</w:t>
            </w:r>
          </w:p>
        </w:tc>
      </w:tr>
      <w:tr w:rsidR="00E86A31" w:rsidRPr="00E86A31" w14:paraId="0A8E8D0B" w14:textId="77777777" w:rsidTr="00E5253A">
        <w:trPr>
          <w:trHeight w:val="230"/>
        </w:trPr>
        <w:tc>
          <w:tcPr>
            <w:tcW w:w="4004" w:type="dxa"/>
          </w:tcPr>
          <w:p w14:paraId="14E2D8A4" w14:textId="71E9B79C" w:rsidR="006154DA" w:rsidRPr="00E86A31" w:rsidRDefault="0026497B" w:rsidP="009411DF">
            <w:pPr>
              <w:spacing w:after="0" w:line="360" w:lineRule="auto"/>
            </w:pPr>
            <w:r w:rsidRPr="00E86A31">
              <w:t>Entre 3</w:t>
            </w:r>
            <w:r w:rsidR="006154DA" w:rsidRPr="00E86A31">
              <w:t xml:space="preserve">000 y </w:t>
            </w:r>
            <w:r w:rsidRPr="00E86A31">
              <w:t>3</w:t>
            </w:r>
            <w:r w:rsidR="006154DA" w:rsidRPr="00E86A31">
              <w:t>999 km</w:t>
            </w:r>
          </w:p>
        </w:tc>
        <w:tc>
          <w:tcPr>
            <w:tcW w:w="3997" w:type="dxa"/>
          </w:tcPr>
          <w:p w14:paraId="5D9DD202" w14:textId="5FAEDB3F" w:rsidR="006154DA" w:rsidRPr="00E86A31" w:rsidRDefault="0026497B" w:rsidP="009411DF">
            <w:pPr>
              <w:spacing w:after="0" w:line="360" w:lineRule="auto"/>
            </w:pPr>
            <w:r w:rsidRPr="00E86A31">
              <w:t>530</w:t>
            </w:r>
            <w:r w:rsidR="006154DA" w:rsidRPr="00E86A31">
              <w:t>€ por participante</w:t>
            </w:r>
          </w:p>
        </w:tc>
      </w:tr>
      <w:tr w:rsidR="00E86A31" w:rsidRPr="00E86A31" w14:paraId="4BB0C37C" w14:textId="77777777" w:rsidTr="00E5253A">
        <w:trPr>
          <w:trHeight w:val="230"/>
        </w:trPr>
        <w:tc>
          <w:tcPr>
            <w:tcW w:w="4004" w:type="dxa"/>
          </w:tcPr>
          <w:p w14:paraId="19C58B35" w14:textId="1C8ABE81" w:rsidR="006154DA" w:rsidRPr="00E86A31" w:rsidRDefault="006154DA" w:rsidP="009411DF">
            <w:pPr>
              <w:spacing w:after="0" w:line="360" w:lineRule="auto"/>
            </w:pPr>
            <w:r w:rsidRPr="00E86A31">
              <w:t xml:space="preserve">Entre </w:t>
            </w:r>
            <w:r w:rsidR="0026497B" w:rsidRPr="00E86A31">
              <w:t>4000</w:t>
            </w:r>
            <w:r w:rsidRPr="00E86A31">
              <w:t xml:space="preserve"> y </w:t>
            </w:r>
            <w:r w:rsidR="0026497B" w:rsidRPr="00E86A31">
              <w:t>7999</w:t>
            </w:r>
            <w:r w:rsidRPr="00E86A31">
              <w:t xml:space="preserve"> km</w:t>
            </w:r>
          </w:p>
        </w:tc>
        <w:tc>
          <w:tcPr>
            <w:tcW w:w="3997" w:type="dxa"/>
          </w:tcPr>
          <w:p w14:paraId="4A7A2A2C" w14:textId="50D14963" w:rsidR="006154DA" w:rsidRPr="00E86A31" w:rsidRDefault="0026497B" w:rsidP="009411DF">
            <w:pPr>
              <w:spacing w:after="0" w:line="360" w:lineRule="auto"/>
            </w:pPr>
            <w:r w:rsidRPr="00E86A31">
              <w:t>820</w:t>
            </w:r>
            <w:r w:rsidR="006154DA" w:rsidRPr="00E86A31">
              <w:t>€ por participante</w:t>
            </w:r>
          </w:p>
        </w:tc>
      </w:tr>
      <w:tr w:rsidR="00E86A31" w:rsidRPr="00E86A31" w14:paraId="7DE2F3A9" w14:textId="77777777" w:rsidTr="00E5253A">
        <w:trPr>
          <w:trHeight w:val="230"/>
        </w:trPr>
        <w:tc>
          <w:tcPr>
            <w:tcW w:w="4004" w:type="dxa"/>
          </w:tcPr>
          <w:p w14:paraId="0F83563D" w14:textId="74A7F1EE" w:rsidR="0026497B" w:rsidRPr="00E86A31" w:rsidRDefault="0026497B" w:rsidP="009411DF">
            <w:pPr>
              <w:spacing w:after="0" w:line="360" w:lineRule="auto"/>
            </w:pPr>
            <w:r w:rsidRPr="00E86A31">
              <w:t>8.000 km y superiores</w:t>
            </w:r>
          </w:p>
        </w:tc>
        <w:tc>
          <w:tcPr>
            <w:tcW w:w="3997" w:type="dxa"/>
          </w:tcPr>
          <w:p w14:paraId="3C9010D8" w14:textId="5D8D2B53" w:rsidR="0026497B" w:rsidRPr="00E86A31" w:rsidRDefault="0026497B" w:rsidP="00E86A31">
            <w:pPr>
              <w:spacing w:after="0" w:line="360" w:lineRule="auto"/>
            </w:pPr>
            <w:r w:rsidRPr="00E86A31">
              <w:t>1.</w:t>
            </w:r>
            <w:r w:rsidR="00E86A31" w:rsidRPr="00E86A31">
              <w:t>5</w:t>
            </w:r>
            <w:r w:rsidRPr="00E86A31">
              <w:t>00€ por participante</w:t>
            </w:r>
          </w:p>
        </w:tc>
      </w:tr>
    </w:tbl>
    <w:p w14:paraId="106613CB" w14:textId="77777777" w:rsidR="00BE5335" w:rsidRPr="00A91B7A" w:rsidRDefault="00BE5335" w:rsidP="006A7FBC">
      <w:pPr>
        <w:spacing w:line="360" w:lineRule="auto"/>
      </w:pPr>
    </w:p>
    <w:p w14:paraId="0695E35B" w14:textId="452764D5" w:rsidR="00BE5335" w:rsidRPr="00A91B7A" w:rsidRDefault="00BE5335" w:rsidP="006A7FBC">
      <w:pPr>
        <w:spacing w:line="360" w:lineRule="auto"/>
      </w:pPr>
      <w:r w:rsidRPr="00A91B7A">
        <w:t>La distancia del viaje que se tendrá en cuenta será la ob</w:t>
      </w:r>
      <w:r w:rsidR="00A102E4">
        <w:t>tenida mediante la Herramienta O</w:t>
      </w:r>
      <w:r w:rsidRPr="00A91B7A">
        <w:t>ficial</w:t>
      </w:r>
      <w:r w:rsidR="00A102E4">
        <w:t xml:space="preserve"> de la Comisión Europea para el</w:t>
      </w:r>
      <w:r w:rsidRPr="00A91B7A">
        <w:t xml:space="preserve"> cálculo de distancias:</w:t>
      </w:r>
    </w:p>
    <w:p w14:paraId="023C81B4" w14:textId="24DEAEA4" w:rsidR="00525B17" w:rsidRDefault="00000000" w:rsidP="006A7FBC">
      <w:pPr>
        <w:spacing w:line="360" w:lineRule="auto"/>
      </w:pPr>
      <w:hyperlink r:id="rId8" w:history="1">
        <w:r w:rsidR="00525B17" w:rsidRPr="00CF6758">
          <w:rPr>
            <w:rStyle w:val="Hipervnculo"/>
          </w:rPr>
          <w:t>https://ec.europa.eu/programmes/erasmus-plus/resources/distance-calculator_en</w:t>
        </w:r>
      </w:hyperlink>
    </w:p>
    <w:p w14:paraId="1EEC963E" w14:textId="7D821213" w:rsidR="003F0BE8" w:rsidRDefault="009226A0" w:rsidP="006A7FBC">
      <w:pPr>
        <w:spacing w:line="360" w:lineRule="auto"/>
      </w:pPr>
      <w:r>
        <w:lastRenderedPageBreak/>
        <w:t>La cantidad a percibir obtenido a partir la distancia indicada en dicha herramienta</w:t>
      </w:r>
      <w:r w:rsidR="003F0BE8" w:rsidRPr="00A91B7A">
        <w:t xml:space="preserve"> representa el importe máximo de la subvención para un viaje de ida y vuelta entre el lugar de salida y el lugar de llegada.</w:t>
      </w:r>
    </w:p>
    <w:p w14:paraId="01FC6176" w14:textId="77777777" w:rsidR="00993E6C" w:rsidRPr="00A91B7A" w:rsidRDefault="00993E6C" w:rsidP="006A7FBC">
      <w:pPr>
        <w:spacing w:line="360" w:lineRule="auto"/>
      </w:pPr>
    </w:p>
    <w:p w14:paraId="4EF96B81" w14:textId="61E51BC1" w:rsidR="003F0BE8" w:rsidRPr="00A91B7A" w:rsidRDefault="00FF051F" w:rsidP="006A7FBC">
      <w:pPr>
        <w:spacing w:line="360" w:lineRule="auto"/>
        <w:rPr>
          <w:u w:val="single"/>
        </w:rPr>
      </w:pPr>
      <w:r w:rsidRPr="00A91B7A">
        <w:rPr>
          <w:u w:val="single"/>
        </w:rPr>
        <w:t>Ayuda de estancia</w:t>
      </w:r>
      <w:r w:rsidR="003F0BE8" w:rsidRPr="00A91B7A">
        <w:rPr>
          <w:u w:val="single"/>
        </w:rPr>
        <w:t>:</w:t>
      </w:r>
    </w:p>
    <w:p w14:paraId="0769F75D" w14:textId="706F6BA8" w:rsidR="009226A0" w:rsidRDefault="003F0BE8" w:rsidP="00993E6C">
      <w:pPr>
        <w:spacing w:line="360" w:lineRule="auto"/>
      </w:pPr>
      <w:r w:rsidRPr="00A91B7A">
        <w:t xml:space="preserve">La contribución </w:t>
      </w:r>
      <w:r w:rsidR="009226A0">
        <w:t>en concepto de ayuda de estancia</w:t>
      </w:r>
      <w:r w:rsidRPr="00A91B7A">
        <w:t xml:space="preserve"> del personal </w:t>
      </w:r>
      <w:r w:rsidR="009226A0">
        <w:t xml:space="preserve">docente </w:t>
      </w:r>
      <w:r w:rsidRPr="00A91B7A">
        <w:t xml:space="preserve">dependerá de la duración de la estancia y del país de destino en el que se desarrolle la </w:t>
      </w:r>
      <w:r w:rsidR="009226A0">
        <w:t>movilidad</w:t>
      </w:r>
      <w:r w:rsidRPr="00A91B7A">
        <w:t>, en función de los días acreditados en el certificado de estancia, que deberá coincidir con lo indicado en el Convenio de Subvención, y según lo que se indica a continuación: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1"/>
        <w:gridCol w:w="2856"/>
      </w:tblGrid>
      <w:tr w:rsidR="00300967" w:rsidRPr="00A91B7A" w14:paraId="17F07CF4" w14:textId="77777777" w:rsidTr="002C1AF5">
        <w:trPr>
          <w:trHeight w:val="580"/>
          <w:jc w:val="center"/>
        </w:trPr>
        <w:tc>
          <w:tcPr>
            <w:tcW w:w="4231" w:type="dxa"/>
            <w:tcBorders>
              <w:left w:val="single" w:sz="8" w:space="0" w:color="000000"/>
              <w:bottom w:val="single" w:sz="8" w:space="0" w:color="000000"/>
              <w:right w:val="single" w:sz="8" w:space="0" w:color="000000"/>
            </w:tcBorders>
          </w:tcPr>
          <w:p w14:paraId="2948A2AC" w14:textId="77777777" w:rsidR="00300967" w:rsidRPr="00A91B7A" w:rsidRDefault="00300967" w:rsidP="009411DF">
            <w:pPr>
              <w:spacing w:after="0" w:line="360" w:lineRule="auto"/>
              <w:jc w:val="center"/>
              <w:rPr>
                <w:b/>
              </w:rPr>
            </w:pPr>
            <w:r w:rsidRPr="00A91B7A">
              <w:rPr>
                <w:b/>
              </w:rPr>
              <w:t>Países de destino</w:t>
            </w:r>
          </w:p>
        </w:tc>
        <w:tc>
          <w:tcPr>
            <w:tcW w:w="2856" w:type="dxa"/>
            <w:tcBorders>
              <w:top w:val="single" w:sz="8" w:space="0" w:color="000000"/>
              <w:left w:val="single" w:sz="8" w:space="0" w:color="000000"/>
              <w:bottom w:val="single" w:sz="8" w:space="0" w:color="000000"/>
              <w:right w:val="single" w:sz="8" w:space="0" w:color="000000"/>
            </w:tcBorders>
            <w:shd w:val="clear" w:color="auto" w:fill="C0C0C0"/>
          </w:tcPr>
          <w:p w14:paraId="6295627F" w14:textId="77777777" w:rsidR="00300967" w:rsidRPr="00A91B7A" w:rsidRDefault="00300967" w:rsidP="009411DF">
            <w:pPr>
              <w:spacing w:after="0" w:line="360" w:lineRule="auto"/>
              <w:ind w:left="-87"/>
              <w:jc w:val="center"/>
              <w:rPr>
                <w:b/>
              </w:rPr>
            </w:pPr>
            <w:r w:rsidRPr="00A91B7A">
              <w:rPr>
                <w:b/>
              </w:rPr>
              <w:t>Cantidad diaria de las ayudas</w:t>
            </w:r>
          </w:p>
        </w:tc>
      </w:tr>
      <w:tr w:rsidR="00300967" w:rsidRPr="00A91B7A" w14:paraId="4E92A613" w14:textId="77777777" w:rsidTr="002C1AF5">
        <w:trPr>
          <w:trHeight w:val="1371"/>
          <w:jc w:val="center"/>
        </w:trPr>
        <w:tc>
          <w:tcPr>
            <w:tcW w:w="4231" w:type="dxa"/>
            <w:tcBorders>
              <w:top w:val="single" w:sz="8" w:space="0" w:color="000000"/>
              <w:left w:val="single" w:sz="8" w:space="0" w:color="000000"/>
              <w:bottom w:val="single" w:sz="8" w:space="0" w:color="000000"/>
              <w:right w:val="single" w:sz="8" w:space="0" w:color="000000"/>
            </w:tcBorders>
            <w:shd w:val="clear" w:color="auto" w:fill="DADADA"/>
          </w:tcPr>
          <w:p w14:paraId="6E544A7C" w14:textId="77777777" w:rsidR="00300967" w:rsidRDefault="00300967" w:rsidP="009411DF">
            <w:pPr>
              <w:spacing w:after="0" w:line="360" w:lineRule="auto"/>
              <w:ind w:left="0"/>
              <w:jc w:val="center"/>
            </w:pPr>
            <w:r w:rsidRPr="00A91B7A">
              <w:t>Dinamarca, Finlandia, Irlanda, Islandia, Liechtenstein, Luxemburgo, Noruega, Suecia</w:t>
            </w:r>
            <w:r w:rsidR="00102790">
              <w:t>.</w:t>
            </w:r>
          </w:p>
          <w:p w14:paraId="2846D6BE" w14:textId="24EE13BF" w:rsidR="00102790" w:rsidRPr="00A91B7A" w:rsidRDefault="00102790" w:rsidP="009411DF">
            <w:pPr>
              <w:spacing w:after="0" w:line="360" w:lineRule="auto"/>
              <w:ind w:left="0"/>
              <w:jc w:val="center"/>
            </w:pPr>
            <w:r>
              <w:t>Países no asociados al programa de la región 14</w:t>
            </w:r>
          </w:p>
        </w:tc>
        <w:tc>
          <w:tcPr>
            <w:tcW w:w="2856" w:type="dxa"/>
            <w:tcBorders>
              <w:top w:val="single" w:sz="8" w:space="0" w:color="000000"/>
              <w:left w:val="single" w:sz="8" w:space="0" w:color="000000"/>
              <w:bottom w:val="single" w:sz="8" w:space="0" w:color="000000"/>
              <w:right w:val="single" w:sz="8" w:space="0" w:color="000000"/>
            </w:tcBorders>
            <w:vAlign w:val="center"/>
          </w:tcPr>
          <w:p w14:paraId="69B48D03" w14:textId="77777777" w:rsidR="00300967" w:rsidRPr="00A91B7A" w:rsidRDefault="00300967" w:rsidP="009411DF">
            <w:pPr>
              <w:spacing w:after="0" w:line="360" w:lineRule="auto"/>
              <w:ind w:left="0"/>
              <w:jc w:val="center"/>
            </w:pPr>
            <w:r w:rsidRPr="00A91B7A">
              <w:t>120 €</w:t>
            </w:r>
          </w:p>
        </w:tc>
      </w:tr>
      <w:tr w:rsidR="00300967" w:rsidRPr="00A91B7A" w14:paraId="69F81F27" w14:textId="77777777" w:rsidTr="002C1AF5">
        <w:trPr>
          <w:trHeight w:val="1213"/>
          <w:jc w:val="center"/>
        </w:trPr>
        <w:tc>
          <w:tcPr>
            <w:tcW w:w="4231" w:type="dxa"/>
            <w:tcBorders>
              <w:top w:val="single" w:sz="8" w:space="0" w:color="000000"/>
              <w:left w:val="single" w:sz="8" w:space="0" w:color="000000"/>
              <w:bottom w:val="single" w:sz="8" w:space="0" w:color="000000"/>
              <w:right w:val="single" w:sz="8" w:space="0" w:color="000000"/>
            </w:tcBorders>
            <w:shd w:val="clear" w:color="auto" w:fill="DADADA"/>
          </w:tcPr>
          <w:p w14:paraId="67B05828" w14:textId="77777777" w:rsidR="00300967" w:rsidRDefault="00300967" w:rsidP="009411DF">
            <w:pPr>
              <w:spacing w:after="0" w:line="360" w:lineRule="auto"/>
              <w:ind w:left="0"/>
              <w:jc w:val="center"/>
            </w:pPr>
            <w:r w:rsidRPr="00A91B7A">
              <w:t>Alemania, Austria, Bélgica, Chipre, Francia, Grecia, Italia, Malta, Países Bajos, Portugal</w:t>
            </w:r>
            <w:r w:rsidR="00102790">
              <w:t>.</w:t>
            </w:r>
          </w:p>
          <w:p w14:paraId="1251DDD7" w14:textId="469D6472" w:rsidR="00102790" w:rsidRPr="00A91B7A" w:rsidRDefault="00102790" w:rsidP="009411DF">
            <w:pPr>
              <w:spacing w:after="0" w:line="360" w:lineRule="auto"/>
              <w:ind w:left="0"/>
              <w:jc w:val="center"/>
            </w:pPr>
            <w:r>
              <w:t>Países no asociados al programa de la región 13</w:t>
            </w:r>
          </w:p>
        </w:tc>
        <w:tc>
          <w:tcPr>
            <w:tcW w:w="2856" w:type="dxa"/>
            <w:tcBorders>
              <w:top w:val="single" w:sz="8" w:space="0" w:color="000000"/>
              <w:left w:val="single" w:sz="8" w:space="0" w:color="000000"/>
              <w:bottom w:val="single" w:sz="8" w:space="0" w:color="000000"/>
              <w:right w:val="single" w:sz="8" w:space="0" w:color="000000"/>
            </w:tcBorders>
            <w:vAlign w:val="center"/>
          </w:tcPr>
          <w:p w14:paraId="5B0BACFC" w14:textId="77777777" w:rsidR="00300967" w:rsidRPr="00A91B7A" w:rsidRDefault="00300967" w:rsidP="009411DF">
            <w:pPr>
              <w:spacing w:after="0" w:line="360" w:lineRule="auto"/>
              <w:ind w:left="0"/>
              <w:jc w:val="center"/>
            </w:pPr>
            <w:r w:rsidRPr="00A91B7A">
              <w:t>105 €</w:t>
            </w:r>
          </w:p>
        </w:tc>
      </w:tr>
      <w:tr w:rsidR="00300967" w:rsidRPr="00A91B7A" w14:paraId="48988158" w14:textId="77777777" w:rsidTr="002C1AF5">
        <w:trPr>
          <w:trHeight w:val="1607"/>
          <w:jc w:val="center"/>
        </w:trPr>
        <w:tc>
          <w:tcPr>
            <w:tcW w:w="4231" w:type="dxa"/>
            <w:tcBorders>
              <w:top w:val="single" w:sz="8" w:space="0" w:color="000000"/>
              <w:left w:val="single" w:sz="8" w:space="0" w:color="000000"/>
              <w:bottom w:val="single" w:sz="8" w:space="0" w:color="000000"/>
              <w:right w:val="single" w:sz="8" w:space="0" w:color="000000"/>
            </w:tcBorders>
            <w:shd w:val="clear" w:color="auto" w:fill="DADADA"/>
          </w:tcPr>
          <w:p w14:paraId="3F696C30" w14:textId="54C12A38" w:rsidR="00300967" w:rsidRPr="00A91B7A" w:rsidRDefault="00300967" w:rsidP="009411DF">
            <w:pPr>
              <w:spacing w:after="0" w:line="360" w:lineRule="auto"/>
              <w:ind w:left="0"/>
              <w:jc w:val="center"/>
            </w:pPr>
            <w:r w:rsidRPr="00A91B7A">
              <w:t>Macedonia</w:t>
            </w:r>
            <w:r w:rsidR="00102790">
              <w:t xml:space="preserve"> del Norte</w:t>
            </w:r>
            <w:r w:rsidRPr="00A91B7A">
              <w:t xml:space="preserve">, Bulgaria, Croacia, Eslovaquia, Eslovenia, Estonia, Hungría, Letonia, Lituania, Polonia, República Checa, Rumanía, </w:t>
            </w:r>
            <w:r w:rsidR="00BD4BCC">
              <w:t>Serbia,</w:t>
            </w:r>
            <w:r w:rsidR="00BD4BCC" w:rsidRPr="00A91B7A">
              <w:t xml:space="preserve"> Turquía</w:t>
            </w:r>
          </w:p>
        </w:tc>
        <w:tc>
          <w:tcPr>
            <w:tcW w:w="2856" w:type="dxa"/>
            <w:tcBorders>
              <w:top w:val="single" w:sz="8" w:space="0" w:color="000000"/>
              <w:left w:val="single" w:sz="8" w:space="0" w:color="000000"/>
              <w:bottom w:val="single" w:sz="8" w:space="0" w:color="000000"/>
              <w:right w:val="single" w:sz="8" w:space="0" w:color="000000"/>
            </w:tcBorders>
            <w:vAlign w:val="center"/>
          </w:tcPr>
          <w:p w14:paraId="39F35F37" w14:textId="77777777" w:rsidR="00300967" w:rsidRPr="00A91B7A" w:rsidRDefault="00300967" w:rsidP="009411DF">
            <w:pPr>
              <w:spacing w:after="0" w:line="360" w:lineRule="auto"/>
              <w:ind w:left="0"/>
              <w:jc w:val="center"/>
            </w:pPr>
            <w:r w:rsidRPr="00A91B7A">
              <w:t>90 €</w:t>
            </w:r>
          </w:p>
        </w:tc>
      </w:tr>
    </w:tbl>
    <w:p w14:paraId="38B4163A" w14:textId="77777777" w:rsidR="003F0BE8" w:rsidRDefault="003F0BE8" w:rsidP="00CF33E7"/>
    <w:p w14:paraId="1DE4237B" w14:textId="160F90D9" w:rsidR="00817253" w:rsidRDefault="00817253" w:rsidP="00976331">
      <w:pPr>
        <w:spacing w:line="360" w:lineRule="auto"/>
      </w:pPr>
      <w:r>
        <w:t>Hay que tener en cuenta que el montante total de esta</w:t>
      </w:r>
      <w:r w:rsidRPr="00817253">
        <w:t xml:space="preserve"> ayuda tiene por objeto contribuir a </w:t>
      </w:r>
      <w:r w:rsidR="009226A0">
        <w:t>sufragar</w:t>
      </w:r>
      <w:r w:rsidRPr="00817253">
        <w:t xml:space="preserve"> los gastos de </w:t>
      </w:r>
      <w:r w:rsidR="009226A0">
        <w:t>transporte</w:t>
      </w:r>
      <w:r w:rsidRPr="00817253">
        <w:t xml:space="preserve">, </w:t>
      </w:r>
      <w:r w:rsidR="009226A0">
        <w:t xml:space="preserve">vivienda y manutención de un periodo de movilidad </w:t>
      </w:r>
      <w:r w:rsidRPr="00817253">
        <w:t xml:space="preserve">y puede no corresponder a la totalidad de los gastos </w:t>
      </w:r>
      <w:r w:rsidR="009226A0">
        <w:t>realmente soportados</w:t>
      </w:r>
      <w:r>
        <w:t>.</w:t>
      </w:r>
    </w:p>
    <w:p w14:paraId="71519EF9" w14:textId="4C53DB41" w:rsidR="006361FD" w:rsidRDefault="00583B81" w:rsidP="00976331">
      <w:pPr>
        <w:spacing w:line="360" w:lineRule="auto"/>
      </w:pPr>
      <w:r>
        <w:lastRenderedPageBreak/>
        <w:t>Antes del comienzo de la movilidad se efectuará un primer pago correspondiente al 75% de la ayuda total. El 25% restante se abonar</w:t>
      </w:r>
      <w:r w:rsidR="002E476B">
        <w:t xml:space="preserve">á </w:t>
      </w:r>
      <w:r w:rsidR="004A307D">
        <w:t xml:space="preserve">en un plazo máximo de 45 días a contar desde que el participante haya entregado la documentación requerida (punto IX) y rellenado el cuestionario de evaluación de la UE. </w:t>
      </w:r>
    </w:p>
    <w:p w14:paraId="6A7475CD" w14:textId="4A339766" w:rsidR="00933A19" w:rsidRDefault="00933A19" w:rsidP="00976331">
      <w:pPr>
        <w:spacing w:line="360" w:lineRule="auto"/>
      </w:pPr>
      <w:r w:rsidRPr="00933A19">
        <w:t xml:space="preserve">La ayuda se abona en la cuenta corriente que figura en </w:t>
      </w:r>
      <w:r>
        <w:t>los registros del Servicio de</w:t>
      </w:r>
      <w:r w:rsidRPr="00933A19">
        <w:t xml:space="preserve"> </w:t>
      </w:r>
      <w:r w:rsidR="000F2E98">
        <w:t>Administración.</w:t>
      </w:r>
      <w:r w:rsidRPr="00933A19">
        <w:t xml:space="preserve"> Es responsabilidad del interesado la actualización de l</w:t>
      </w:r>
      <w:r>
        <w:t>os datos bancarios que obran en dicho servicio</w:t>
      </w:r>
      <w:r w:rsidRPr="00933A19">
        <w:t>.</w:t>
      </w:r>
    </w:p>
    <w:p w14:paraId="3844125A" w14:textId="77777777" w:rsidR="00993E6C" w:rsidRDefault="00993E6C" w:rsidP="00976331">
      <w:pPr>
        <w:spacing w:line="360" w:lineRule="auto"/>
      </w:pPr>
    </w:p>
    <w:p w14:paraId="12AFA3F3" w14:textId="785B7D87" w:rsidR="009411DF" w:rsidRPr="00A91B7A" w:rsidRDefault="00870ACF" w:rsidP="00976331">
      <w:pPr>
        <w:pStyle w:val="Ttulo1"/>
        <w:spacing w:line="360" w:lineRule="auto"/>
      </w:pPr>
      <w:r w:rsidRPr="00A91B7A">
        <w:t>Criterios</w:t>
      </w:r>
      <w:r w:rsidR="0073479B" w:rsidRPr="00A91B7A">
        <w:t xml:space="preserve"> de selección</w:t>
      </w:r>
    </w:p>
    <w:p w14:paraId="25B25B67" w14:textId="7850AAE7" w:rsidR="0073479B" w:rsidRPr="00A91B7A" w:rsidRDefault="0073479B" w:rsidP="00976331">
      <w:pPr>
        <w:spacing w:line="360" w:lineRule="auto"/>
      </w:pPr>
      <w:r w:rsidRPr="00A91B7A">
        <w:t xml:space="preserve">Se </w:t>
      </w:r>
      <w:r w:rsidR="005922E3" w:rsidRPr="00A91B7A">
        <w:t>establecen lo</w:t>
      </w:r>
      <w:r w:rsidRPr="00A91B7A">
        <w:t xml:space="preserve">s siguientes </w:t>
      </w:r>
      <w:r w:rsidR="005922E3" w:rsidRPr="00A91B7A">
        <w:t>criterios</w:t>
      </w:r>
      <w:r w:rsidRPr="00A91B7A">
        <w:t xml:space="preserve"> que se aplicaran en el proceso de selección:</w:t>
      </w:r>
    </w:p>
    <w:p w14:paraId="2D17C9AF" w14:textId="0E7B2FB8" w:rsidR="0073479B" w:rsidRPr="00A91B7A" w:rsidRDefault="005922E3" w:rsidP="00976331">
      <w:pPr>
        <w:pStyle w:val="Prrafodelista"/>
        <w:numPr>
          <w:ilvl w:val="0"/>
          <w:numId w:val="18"/>
        </w:numPr>
        <w:spacing w:line="360" w:lineRule="auto"/>
        <w:contextualSpacing w:val="0"/>
      </w:pPr>
      <w:r w:rsidRPr="00A91B7A">
        <w:t xml:space="preserve">Criterio 1: Tendrán prioridad en el proceso de </w:t>
      </w:r>
      <w:r w:rsidR="00A91B7A" w:rsidRPr="00A91B7A">
        <w:t>adjudicación</w:t>
      </w:r>
      <w:r w:rsidR="00685457" w:rsidRPr="00A91B7A">
        <w:t xml:space="preserve"> de plazas aquel personal que nunca haya participado previamente en el programa de movilidad.</w:t>
      </w:r>
    </w:p>
    <w:p w14:paraId="4B0BFB00" w14:textId="40993B1F" w:rsidR="00685457" w:rsidRPr="00A91B7A" w:rsidRDefault="00685457" w:rsidP="00976331">
      <w:pPr>
        <w:pStyle w:val="Prrafodelista"/>
        <w:numPr>
          <w:ilvl w:val="0"/>
          <w:numId w:val="18"/>
        </w:numPr>
        <w:spacing w:line="360" w:lineRule="auto"/>
        <w:ind w:left="1208" w:hanging="357"/>
        <w:contextualSpacing w:val="0"/>
      </w:pPr>
      <w:r w:rsidRPr="00A91B7A">
        <w:t>Criterio 2: tendrán prioridad aquellos miembros del PDI que impartan asignaturas, dentro del año académico 20</w:t>
      </w:r>
      <w:r w:rsidR="008138A3">
        <w:t>2</w:t>
      </w:r>
      <w:r w:rsidR="003E59FF">
        <w:t>3</w:t>
      </w:r>
      <w:r w:rsidR="00841B69">
        <w:t>-2</w:t>
      </w:r>
      <w:r w:rsidR="003E59FF">
        <w:t>4</w:t>
      </w:r>
      <w:r w:rsidRPr="00A91B7A">
        <w:t xml:space="preserve"> en lengua extranjera.</w:t>
      </w:r>
    </w:p>
    <w:p w14:paraId="4B259E49" w14:textId="42A214F4" w:rsidR="00DA6B6E" w:rsidRPr="00A91B7A" w:rsidRDefault="00DA6B6E" w:rsidP="00976331">
      <w:pPr>
        <w:pStyle w:val="Prrafodelista"/>
        <w:numPr>
          <w:ilvl w:val="0"/>
          <w:numId w:val="18"/>
        </w:numPr>
        <w:spacing w:line="360" w:lineRule="auto"/>
        <w:ind w:left="1208" w:hanging="357"/>
        <w:contextualSpacing w:val="0"/>
      </w:pPr>
      <w:r w:rsidRPr="00A91B7A">
        <w:t>Criterio 3: se priorizará a aquellos docentes que acrediten conocimientos de lengua inglesa o de aquella en la que vaya a realizarse la movilidad.</w:t>
      </w:r>
    </w:p>
    <w:p w14:paraId="5993C3BA" w14:textId="4157CDC0" w:rsidR="005D7F32" w:rsidRPr="00A91B7A" w:rsidRDefault="00DA6B6E" w:rsidP="00976331">
      <w:pPr>
        <w:pStyle w:val="Prrafodelista"/>
        <w:numPr>
          <w:ilvl w:val="0"/>
          <w:numId w:val="18"/>
        </w:numPr>
        <w:spacing w:line="360" w:lineRule="auto"/>
        <w:ind w:left="1208" w:hanging="357"/>
        <w:contextualSpacing w:val="0"/>
      </w:pPr>
      <w:r w:rsidRPr="00A91B7A">
        <w:t xml:space="preserve">Criterio 4: </w:t>
      </w:r>
      <w:r w:rsidR="00870ACF" w:rsidRPr="00A91B7A">
        <w:t xml:space="preserve">Tendrán prioridad aquellos miembros del PDI que hayan incluido en su </w:t>
      </w:r>
      <w:r w:rsidRPr="00A91B7A">
        <w:t xml:space="preserve">propuesta otras actividades, además de las puramente docentes, </w:t>
      </w:r>
      <w:r w:rsidR="007209F9" w:rsidRPr="00A91B7A">
        <w:t>que generen una mayor internacionalización de la Universidad Europea del Atlántico.</w:t>
      </w:r>
    </w:p>
    <w:p w14:paraId="535D2593" w14:textId="37775743" w:rsidR="005D7F32" w:rsidRPr="00A91B7A" w:rsidRDefault="005D7F32" w:rsidP="005D7F32">
      <w:pPr>
        <w:pStyle w:val="Ttulo1"/>
      </w:pPr>
      <w:r w:rsidRPr="00A91B7A">
        <w:t>Solicitudes</w:t>
      </w:r>
    </w:p>
    <w:p w14:paraId="74D68BCC" w14:textId="58191001" w:rsidR="003C508C" w:rsidRPr="00A91B7A" w:rsidRDefault="006446BF" w:rsidP="00976331">
      <w:pPr>
        <w:spacing w:line="360" w:lineRule="auto"/>
      </w:pPr>
      <w:r w:rsidRPr="00A91B7A">
        <w:t xml:space="preserve">Los interesados </w:t>
      </w:r>
      <w:r w:rsidR="003E59FF">
        <w:t>pueden apuntarse a la convocatoria en cualquier momento hasta el</w:t>
      </w:r>
      <w:r w:rsidR="008B30D5">
        <w:t xml:space="preserve"> </w:t>
      </w:r>
      <w:r w:rsidR="008F3CD1">
        <w:t>15</w:t>
      </w:r>
      <w:r w:rsidR="008B30D5">
        <w:t xml:space="preserve"> de </w:t>
      </w:r>
      <w:r w:rsidR="003E59FF">
        <w:t>enero</w:t>
      </w:r>
      <w:r w:rsidR="008B30D5">
        <w:t xml:space="preserve"> de 20</w:t>
      </w:r>
      <w:r w:rsidR="008138A3">
        <w:t>2</w:t>
      </w:r>
      <w:r w:rsidR="003E59FF">
        <w:t>4, debiendo para ello rellenar el siguiente formulario</w:t>
      </w:r>
      <w:r w:rsidR="008B30D5">
        <w:t>:</w:t>
      </w:r>
    </w:p>
    <w:p w14:paraId="596F3EE6" w14:textId="6CD1F1AE" w:rsidR="00F052D3" w:rsidRDefault="00000000" w:rsidP="00976331">
      <w:pPr>
        <w:spacing w:line="360" w:lineRule="auto"/>
      </w:pPr>
      <w:hyperlink r:id="rId9" w:history="1">
        <w:r w:rsidR="00F052D3" w:rsidRPr="00CC1EAE">
          <w:rPr>
            <w:rStyle w:val="Hipervnculo"/>
          </w:rPr>
          <w:t>https://forms.gle/EfqQPAfpLpbXSmB76</w:t>
        </w:r>
      </w:hyperlink>
    </w:p>
    <w:p w14:paraId="6BA5ED6A" w14:textId="46377ACF" w:rsidR="008B2CA1" w:rsidRPr="00A91B7A" w:rsidRDefault="008B2CA1" w:rsidP="00976331">
      <w:pPr>
        <w:spacing w:line="360" w:lineRule="auto"/>
      </w:pPr>
      <w:r w:rsidRPr="00A91B7A">
        <w:lastRenderedPageBreak/>
        <w:t>Después de haber cumplimentado la solicitud online</w:t>
      </w:r>
      <w:r w:rsidR="00740468" w:rsidRPr="00A91B7A">
        <w:t xml:space="preserve"> los </w:t>
      </w:r>
      <w:r w:rsidR="00A91B7A" w:rsidRPr="00A91B7A">
        <w:t>interesados deberán</w:t>
      </w:r>
      <w:r w:rsidR="00740468" w:rsidRPr="00A91B7A">
        <w:t xml:space="preserve"> hacer llegar a la Oficina de Relaciones Internacionales, </w:t>
      </w:r>
      <w:r w:rsidR="007F54C1" w:rsidRPr="00A91B7A">
        <w:t xml:space="preserve">con plazo hasta </w:t>
      </w:r>
      <w:r w:rsidR="00031857">
        <w:t>el 1</w:t>
      </w:r>
      <w:r w:rsidR="008F3CD1">
        <w:t>5</w:t>
      </w:r>
      <w:r w:rsidR="00031857">
        <w:t xml:space="preserve"> de </w:t>
      </w:r>
      <w:r w:rsidR="00D94F1F">
        <w:t>febrero</w:t>
      </w:r>
      <w:r w:rsidR="007F54C1" w:rsidRPr="00031857">
        <w:t xml:space="preserve"> </w:t>
      </w:r>
      <w:r w:rsidR="00031857" w:rsidRPr="00031857">
        <w:t>de 20</w:t>
      </w:r>
      <w:r w:rsidR="008F3CD1">
        <w:t>2</w:t>
      </w:r>
      <w:r w:rsidR="003E59FF">
        <w:t>4</w:t>
      </w:r>
      <w:r w:rsidR="00031857" w:rsidRPr="00031857">
        <w:t xml:space="preserve"> </w:t>
      </w:r>
      <w:r w:rsidR="00740468" w:rsidRPr="00031857">
        <w:t xml:space="preserve">la </w:t>
      </w:r>
      <w:r w:rsidR="00740468" w:rsidRPr="00A91B7A">
        <w:t>siguiente documentación:</w:t>
      </w:r>
    </w:p>
    <w:p w14:paraId="5F64AAC7" w14:textId="2A0FE55C" w:rsidR="00740468" w:rsidRPr="00A91B7A" w:rsidRDefault="00740468" w:rsidP="00976331">
      <w:pPr>
        <w:pStyle w:val="Prrafodelista"/>
        <w:numPr>
          <w:ilvl w:val="0"/>
          <w:numId w:val="18"/>
        </w:numPr>
        <w:spacing w:line="360" w:lineRule="auto"/>
        <w:contextualSpacing w:val="0"/>
      </w:pPr>
      <w:r w:rsidRPr="00A91B7A">
        <w:t xml:space="preserve">Copia impresa y firmada del formulario de solicitud cumplimentado vía online previamente. </w:t>
      </w:r>
    </w:p>
    <w:p w14:paraId="3EDECF9E" w14:textId="14726111" w:rsidR="00740468" w:rsidRDefault="00E577C4" w:rsidP="00976331">
      <w:pPr>
        <w:pStyle w:val="Prrafodelista"/>
        <w:numPr>
          <w:ilvl w:val="0"/>
          <w:numId w:val="18"/>
        </w:numPr>
        <w:spacing w:line="360" w:lineRule="auto"/>
        <w:contextualSpacing w:val="0"/>
      </w:pPr>
      <w:r w:rsidRPr="00A91B7A">
        <w:t xml:space="preserve">El “Acuerdo de movilidad”, cuyo modelo se encontrará en el </w:t>
      </w:r>
      <w:r w:rsidRPr="00031857">
        <w:t>ANEXO</w:t>
      </w:r>
      <w:r w:rsidR="0082537D" w:rsidRPr="00031857">
        <w:t xml:space="preserve"> </w:t>
      </w:r>
      <w:r w:rsidR="002E476B" w:rsidRPr="00031857">
        <w:t>I</w:t>
      </w:r>
      <w:r w:rsidR="00F052D3">
        <w:t xml:space="preserve"> (modalidad STA) o ANEXO II (modalidad STT)</w:t>
      </w:r>
      <w:r w:rsidRPr="00031857">
        <w:t xml:space="preserve"> </w:t>
      </w:r>
      <w:r w:rsidRPr="00A91B7A">
        <w:t>de la presente convocatoria y en la página web de la ORI, en el que irá detallado el programa docente. Este documento debe estar firmado por el departamento, facultad o responsable de relaciones internacionales de la universidad de destino y el propio interesado. Este documento podrá aceptarse de forma escaneada.</w:t>
      </w:r>
    </w:p>
    <w:p w14:paraId="5816288F" w14:textId="5EF126B1" w:rsidR="00F03559" w:rsidRDefault="00F03559" w:rsidP="00976331">
      <w:pPr>
        <w:pStyle w:val="Prrafodelista"/>
        <w:numPr>
          <w:ilvl w:val="0"/>
          <w:numId w:val="18"/>
        </w:numPr>
        <w:spacing w:line="360" w:lineRule="auto"/>
        <w:contextualSpacing w:val="0"/>
      </w:pPr>
      <w:r>
        <w:t>Opcionalmente el interesado podrá aportar documentación acreditativa del nivel de inglés.</w:t>
      </w:r>
    </w:p>
    <w:p w14:paraId="54DF124E" w14:textId="0089BC42" w:rsidR="00896047" w:rsidRPr="00A91B7A" w:rsidRDefault="00896047" w:rsidP="00976331">
      <w:pPr>
        <w:spacing w:line="360" w:lineRule="auto"/>
      </w:pPr>
      <w:r>
        <w:t xml:space="preserve">El procedimiento </w:t>
      </w:r>
      <w:r w:rsidR="00236286">
        <w:t xml:space="preserve">normal, antes de rellenar la solicitud, consiste en ponerse </w:t>
      </w:r>
      <w:r>
        <w:t xml:space="preserve">en contacto con la universidad </w:t>
      </w:r>
      <w:r w:rsidR="00236286">
        <w:t xml:space="preserve">o universidades elegidas a priori </w:t>
      </w:r>
      <w:r>
        <w:t xml:space="preserve">para estudiar la posibilidad de impartir docencia en las áreas de conocimiento del interesado, explorando ya las fechas en las que esta actividad tendría lugar. </w:t>
      </w:r>
    </w:p>
    <w:p w14:paraId="3C2E4946" w14:textId="634F0CA7" w:rsidR="007F54C1" w:rsidRPr="00A91B7A" w:rsidRDefault="007F54C1" w:rsidP="00976331">
      <w:pPr>
        <w:spacing w:line="360" w:lineRule="auto"/>
      </w:pPr>
      <w:r w:rsidRPr="00A91B7A">
        <w:t xml:space="preserve">Transcurrido el plazo de presentación de solicitudes se procederá a publicar </w:t>
      </w:r>
      <w:r w:rsidR="008506F3" w:rsidRPr="00A91B7A">
        <w:t>la resolución de asignación provisional de plazas</w:t>
      </w:r>
      <w:r w:rsidR="002E2676" w:rsidRPr="00A91B7A">
        <w:t>.</w:t>
      </w:r>
    </w:p>
    <w:p w14:paraId="2508F295" w14:textId="1CA0939C" w:rsidR="002E2676" w:rsidRPr="00A91B7A" w:rsidRDefault="002E2676" w:rsidP="00976331">
      <w:pPr>
        <w:spacing w:line="360" w:lineRule="auto"/>
      </w:pPr>
      <w:r w:rsidRPr="00A91B7A">
        <w:t xml:space="preserve">A partir de esta resolución se abre un periodo de 10 días naturales para que los interesados puedan subsanar errores o presentar documentación solicitada. </w:t>
      </w:r>
    </w:p>
    <w:p w14:paraId="574B79A6" w14:textId="78063278" w:rsidR="002E2676" w:rsidRDefault="002E2676" w:rsidP="00976331">
      <w:pPr>
        <w:spacing w:line="360" w:lineRule="auto"/>
      </w:pPr>
      <w:r w:rsidRPr="00A91B7A">
        <w:t xml:space="preserve">Concluido este periodo se procederá a publicar la resolución con </w:t>
      </w:r>
      <w:r w:rsidR="00726266" w:rsidRPr="00A91B7A">
        <w:t>la</w:t>
      </w:r>
      <w:r w:rsidRPr="00A91B7A">
        <w:t xml:space="preserve"> asignación de plazas definitiva.</w:t>
      </w:r>
    </w:p>
    <w:p w14:paraId="2103A499" w14:textId="48CBC91B" w:rsidR="002D6DEE" w:rsidRDefault="002D6DEE" w:rsidP="00976331">
      <w:pPr>
        <w:spacing w:line="360" w:lineRule="auto"/>
      </w:pPr>
      <w:r>
        <w:t xml:space="preserve">Las resoluciones </w:t>
      </w:r>
      <w:r w:rsidR="00236286">
        <w:t>deberán contar</w:t>
      </w:r>
      <w:r>
        <w:t xml:space="preserve"> </w:t>
      </w:r>
      <w:r w:rsidR="006801BF">
        <w:t xml:space="preserve">necesariamente </w:t>
      </w:r>
      <w:r>
        <w:t xml:space="preserve">con el visto bueno del Vicerrectorado de </w:t>
      </w:r>
      <w:r w:rsidR="006801BF">
        <w:t>Ordenación de Académica.</w:t>
      </w:r>
    </w:p>
    <w:p w14:paraId="20CB2D5E" w14:textId="2EAD05F1" w:rsidR="00726266" w:rsidRDefault="00726266" w:rsidP="00976331">
      <w:pPr>
        <w:spacing w:line="360" w:lineRule="auto"/>
      </w:pPr>
      <w:r w:rsidRPr="00726266">
        <w:t>Si se produjeran modificaciones sobre el Acuerdo de Movilidad o bien sobre el documento de solicitud entregados, dichas modificaciones deberán ser comunicadas</w:t>
      </w:r>
      <w:r>
        <w:t xml:space="preserve"> a la Oficina de Relaciones Internacionales</w:t>
      </w:r>
      <w:r w:rsidRPr="00726266">
        <w:t xml:space="preserve"> adjuntándose, si fuera el caso, un nuevo Acuerdo de Movilidad firmado tanto</w:t>
      </w:r>
      <w:r>
        <w:t xml:space="preserve"> por la Universidad de destino </w:t>
      </w:r>
      <w:r w:rsidRPr="00726266">
        <w:t>como por el interesado (igualmente se admitirá escaneado este nuevo documento).</w:t>
      </w:r>
    </w:p>
    <w:p w14:paraId="57E123A7" w14:textId="290419F3" w:rsidR="00515ED2" w:rsidRDefault="00515ED2" w:rsidP="00976331">
      <w:pPr>
        <w:spacing w:line="360" w:lineRule="auto"/>
      </w:pPr>
      <w:r w:rsidRPr="00515ED2">
        <w:lastRenderedPageBreak/>
        <w:t xml:space="preserve">En caso de renuncia a la ayuda por parte de un profesor, ésta </w:t>
      </w:r>
      <w:r>
        <w:t xml:space="preserve">debe comunicarse por escrito en la ORI </w:t>
      </w:r>
      <w:r w:rsidR="00D8016F">
        <w:t xml:space="preserve">de forma inmediata. Dicha </w:t>
      </w:r>
      <w:r w:rsidR="008F3CD1">
        <w:t>plaza</w:t>
      </w:r>
      <w:r w:rsidRPr="00515ED2">
        <w:t xml:space="preserve"> podrá ser asignada a los suplentes por orden de prelación.</w:t>
      </w:r>
    </w:p>
    <w:p w14:paraId="7A92DDD1" w14:textId="77777777" w:rsidR="003E59FF" w:rsidRDefault="003E59FF" w:rsidP="00976331">
      <w:pPr>
        <w:spacing w:line="360" w:lineRule="auto"/>
      </w:pPr>
    </w:p>
    <w:p w14:paraId="1A54A3CF" w14:textId="77777777" w:rsidR="003E59FF" w:rsidRPr="00A91B7A" w:rsidRDefault="003E59FF" w:rsidP="00976331">
      <w:pPr>
        <w:spacing w:line="360" w:lineRule="auto"/>
      </w:pPr>
    </w:p>
    <w:p w14:paraId="0F5398A8" w14:textId="3ED7A694" w:rsidR="00012EF8" w:rsidRPr="00A91B7A" w:rsidRDefault="00012EF8" w:rsidP="00012EF8">
      <w:pPr>
        <w:pStyle w:val="Ttulo1"/>
      </w:pPr>
      <w:r w:rsidRPr="00A91B7A">
        <w:t>Obligaciones del beneficiario</w:t>
      </w:r>
    </w:p>
    <w:p w14:paraId="15141789" w14:textId="6AF5F979" w:rsidR="00012EF8" w:rsidRPr="00A91B7A" w:rsidRDefault="00012EF8" w:rsidP="00976331">
      <w:pPr>
        <w:pStyle w:val="Prrafodelista"/>
        <w:numPr>
          <w:ilvl w:val="0"/>
          <w:numId w:val="18"/>
        </w:numPr>
        <w:spacing w:line="360" w:lineRule="auto"/>
        <w:ind w:left="1208" w:hanging="357"/>
        <w:contextualSpacing w:val="0"/>
      </w:pPr>
      <w:r w:rsidRPr="00A91B7A">
        <w:t xml:space="preserve">Es indispensable que antes de comenzar la movilidad el profesor haya </w:t>
      </w:r>
      <w:r w:rsidR="00A91B7A" w:rsidRPr="00A91B7A">
        <w:t>rellenado</w:t>
      </w:r>
      <w:r w:rsidRPr="00A91B7A">
        <w:t xml:space="preserve"> y </w:t>
      </w:r>
      <w:r w:rsidR="00A91B7A" w:rsidRPr="00A91B7A">
        <w:t>firmado el</w:t>
      </w:r>
      <w:r w:rsidRPr="00A91B7A">
        <w:t xml:space="preserve"> correspondiente </w:t>
      </w:r>
      <w:r w:rsidR="00A00D78">
        <w:t>Convenio de S</w:t>
      </w:r>
      <w:r w:rsidRPr="00A91B7A">
        <w:t>ubvención en la Oficina d</w:t>
      </w:r>
      <w:r w:rsidR="00A05F4B">
        <w:t>e Relaciones Internacionales. La</w:t>
      </w:r>
      <w:r w:rsidRPr="00A91B7A">
        <w:t xml:space="preserve"> información para </w:t>
      </w:r>
      <w:r w:rsidR="00F204FF">
        <w:t>conseguir</w:t>
      </w:r>
      <w:r w:rsidRPr="00A91B7A">
        <w:t xml:space="preserve"> este documento se obtendrá en la propia ORI</w:t>
      </w:r>
    </w:p>
    <w:p w14:paraId="552D1431" w14:textId="656E1A0E" w:rsidR="00012EF8" w:rsidRDefault="00326FF3" w:rsidP="00976331">
      <w:pPr>
        <w:pStyle w:val="Prrafodelista"/>
        <w:numPr>
          <w:ilvl w:val="0"/>
          <w:numId w:val="18"/>
        </w:numPr>
        <w:spacing w:line="360" w:lineRule="auto"/>
        <w:ind w:left="1208" w:hanging="357"/>
        <w:contextualSpacing w:val="0"/>
      </w:pPr>
      <w:r w:rsidRPr="00A91B7A">
        <w:t xml:space="preserve">Al volver de la movilidad el docente debe aportar el certificado de estancia donde figuran las fechas de inicio y de fin de la misma, así como el número de horas impartidas firmado y sellado por la universidad de destino. El </w:t>
      </w:r>
      <w:r w:rsidR="00A91B7A" w:rsidRPr="00A91B7A">
        <w:t>certificado</w:t>
      </w:r>
      <w:r w:rsidRPr="00A91B7A">
        <w:t xml:space="preserve"> (ANEXO </w:t>
      </w:r>
      <w:r w:rsidR="003E2AF6">
        <w:t>I</w:t>
      </w:r>
      <w:r w:rsidR="00F052D3">
        <w:t>V</w:t>
      </w:r>
      <w:r w:rsidRPr="00A91B7A">
        <w:t>)</w:t>
      </w:r>
      <w:r w:rsidR="00A91B7A">
        <w:t xml:space="preserve"> ha de ser original, no admitiéndose fotocopias, faxes o documentos escaneados.</w:t>
      </w:r>
    </w:p>
    <w:p w14:paraId="562C889C" w14:textId="3C1CFD2A" w:rsidR="007F54C1" w:rsidRDefault="00A91B7A" w:rsidP="00976331">
      <w:pPr>
        <w:pStyle w:val="Prrafodelista"/>
        <w:numPr>
          <w:ilvl w:val="0"/>
          <w:numId w:val="18"/>
        </w:numPr>
        <w:spacing w:line="360" w:lineRule="auto"/>
        <w:ind w:left="1208" w:hanging="357"/>
        <w:contextualSpacing w:val="0"/>
      </w:pPr>
      <w:r>
        <w:t xml:space="preserve">El </w:t>
      </w:r>
      <w:r w:rsidR="00A14FD1">
        <w:t>beneficiario</w:t>
      </w:r>
      <w:r>
        <w:t xml:space="preserve"> deberá rellenar el informe de estancia que recibirá en su correo institucional desde la Comisión Europea. </w:t>
      </w:r>
    </w:p>
    <w:p w14:paraId="5801F274" w14:textId="6A59392F" w:rsidR="00A14FD1" w:rsidRDefault="00A14FD1" w:rsidP="00976331">
      <w:pPr>
        <w:pStyle w:val="Prrafodelista"/>
        <w:numPr>
          <w:ilvl w:val="0"/>
          <w:numId w:val="18"/>
        </w:numPr>
        <w:spacing w:line="360" w:lineRule="auto"/>
        <w:ind w:left="1208" w:hanging="357"/>
        <w:contextualSpacing w:val="0"/>
      </w:pPr>
      <w:r>
        <w:t>El beneficiario deberá aportar documentación original de los gastos en que haya incurrido, como viajes y alojamiento.</w:t>
      </w:r>
      <w:r w:rsidR="00792524">
        <w:t xml:space="preserve"> Deben conservarse los originales de las tarjetas de embarque o billetes de transporte.</w:t>
      </w:r>
    </w:p>
    <w:p w14:paraId="6823D686" w14:textId="1E9BB6CF" w:rsidR="002B7764" w:rsidRDefault="002B7764" w:rsidP="00976331">
      <w:pPr>
        <w:pStyle w:val="Prrafodelista"/>
        <w:numPr>
          <w:ilvl w:val="0"/>
          <w:numId w:val="18"/>
        </w:numPr>
        <w:spacing w:line="360" w:lineRule="auto"/>
        <w:ind w:left="1208" w:hanging="357"/>
        <w:contextualSpacing w:val="0"/>
      </w:pPr>
      <w:r>
        <w:t xml:space="preserve">La Universidad Europea del Atlántico </w:t>
      </w:r>
      <w:r w:rsidRPr="002B7764">
        <w:t xml:space="preserve">no abonará cantidad alguna de manera directa a las agencias de viajes, compañías aéreas, hoteles, etc. Estos pagos deberán ser realizados directamente por los </w:t>
      </w:r>
      <w:r>
        <w:t>beneficiarios.</w:t>
      </w:r>
    </w:p>
    <w:p w14:paraId="3AB1BBFE" w14:textId="4CEEDB83" w:rsidR="00BA7AF6" w:rsidRDefault="00792524" w:rsidP="00976331">
      <w:pPr>
        <w:spacing w:line="360" w:lineRule="auto"/>
      </w:pPr>
      <w:r>
        <w:t xml:space="preserve">En el caso de que la ayuda no quede debidamente justificada el beneficiario está obligado a la devolución </w:t>
      </w:r>
      <w:r w:rsidR="002B7764">
        <w:t xml:space="preserve">total o parcial </w:t>
      </w:r>
      <w:r>
        <w:t>de la cantidad percibida.</w:t>
      </w:r>
    </w:p>
    <w:p w14:paraId="4F85C555" w14:textId="04F73336" w:rsidR="00BA7AF6" w:rsidRDefault="00BA7AF6" w:rsidP="00976331">
      <w:pPr>
        <w:spacing w:line="360" w:lineRule="auto"/>
      </w:pPr>
      <w:r>
        <w:t xml:space="preserve">En Santander a </w:t>
      </w:r>
      <w:r w:rsidR="003E59FF">
        <w:t>17</w:t>
      </w:r>
      <w:r w:rsidR="00841B69">
        <w:t xml:space="preserve"> de </w:t>
      </w:r>
      <w:r w:rsidR="003E59FF">
        <w:t>octubre</w:t>
      </w:r>
      <w:r w:rsidR="00841B69">
        <w:t xml:space="preserve"> de 20</w:t>
      </w:r>
      <w:r w:rsidR="008F3CD1">
        <w:t>2</w:t>
      </w:r>
      <w:r w:rsidR="003E59FF">
        <w:t>3</w:t>
      </w:r>
    </w:p>
    <w:p w14:paraId="1B3DA0D2" w14:textId="4C28A3B8" w:rsidR="00BA7AF6" w:rsidRDefault="00BA7AF6" w:rsidP="00976331">
      <w:pPr>
        <w:spacing w:line="360" w:lineRule="auto"/>
      </w:pPr>
      <w:r>
        <w:t>Firmado:</w:t>
      </w:r>
    </w:p>
    <w:p w14:paraId="56776E80" w14:textId="1A745338" w:rsidR="00BA7AF6" w:rsidRDefault="00BA7AF6" w:rsidP="003E59FF">
      <w:pPr>
        <w:spacing w:line="360" w:lineRule="auto"/>
      </w:pPr>
      <w:r>
        <w:lastRenderedPageBreak/>
        <w:t>Juan Luis Vidal</w:t>
      </w:r>
    </w:p>
    <w:p w14:paraId="717B8119" w14:textId="77777777" w:rsidR="00BA7AF6" w:rsidRDefault="00BA7AF6" w:rsidP="003E59FF">
      <w:pPr>
        <w:spacing w:line="360" w:lineRule="auto"/>
        <w:ind w:left="0"/>
      </w:pPr>
    </w:p>
    <w:p w14:paraId="5BE4BEE0" w14:textId="77777777" w:rsidR="00BA7AF6" w:rsidRDefault="00BA7AF6" w:rsidP="00976331">
      <w:pPr>
        <w:spacing w:line="360" w:lineRule="auto"/>
      </w:pPr>
    </w:p>
    <w:p w14:paraId="4E1D9F7C" w14:textId="554F18CE" w:rsidR="00BA7AF6" w:rsidRPr="00A91B7A" w:rsidRDefault="00BA7AF6" w:rsidP="00976331">
      <w:pPr>
        <w:spacing w:line="360" w:lineRule="auto"/>
      </w:pPr>
      <w:r>
        <w:t>Director de la Oficina de Relaciones Internacionales</w:t>
      </w:r>
    </w:p>
    <w:sectPr w:rsidR="00BA7AF6" w:rsidRPr="00A91B7A" w:rsidSect="003B761D">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8F9F" w14:textId="77777777" w:rsidR="00073C09" w:rsidRDefault="00073C09" w:rsidP="00DA3524">
      <w:r>
        <w:separator/>
      </w:r>
    </w:p>
  </w:endnote>
  <w:endnote w:type="continuationSeparator" w:id="0">
    <w:p w14:paraId="6B175BA8" w14:textId="77777777" w:rsidR="00073C09" w:rsidRDefault="00073C09" w:rsidP="00DA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FAD8" w14:textId="77777777" w:rsidR="000342C4" w:rsidRDefault="000342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D28E" w14:textId="77777777" w:rsidR="00D23A4D" w:rsidRDefault="00D23A4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4A307D">
      <w:rPr>
        <w:noProof/>
        <w:color w:val="323E4F" w:themeColor="text2" w:themeShade="BF"/>
        <w:sz w:val="24"/>
        <w:szCs w:val="24"/>
      </w:rPr>
      <w:t>9</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4A307D">
      <w:rPr>
        <w:noProof/>
        <w:color w:val="323E4F" w:themeColor="text2" w:themeShade="BF"/>
        <w:sz w:val="24"/>
        <w:szCs w:val="24"/>
      </w:rPr>
      <w:t>9</w:t>
    </w:r>
    <w:r>
      <w:rPr>
        <w:color w:val="323E4F" w:themeColor="text2" w:themeShade="BF"/>
        <w:sz w:val="24"/>
        <w:szCs w:val="24"/>
      </w:rPr>
      <w:fldChar w:fldCharType="end"/>
    </w:r>
  </w:p>
  <w:p w14:paraId="7BEE9EBA" w14:textId="77777777" w:rsidR="00EA65D2" w:rsidRDefault="00EA65D2" w:rsidP="00DA352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8049" w14:textId="77777777" w:rsidR="000342C4" w:rsidRDefault="000342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9E9D9" w14:textId="77777777" w:rsidR="00073C09" w:rsidRDefault="00073C09" w:rsidP="00DA3524">
      <w:r>
        <w:separator/>
      </w:r>
    </w:p>
  </w:footnote>
  <w:footnote w:type="continuationSeparator" w:id="0">
    <w:p w14:paraId="1765936E" w14:textId="77777777" w:rsidR="00073C09" w:rsidRDefault="00073C09" w:rsidP="00DA3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CD60" w14:textId="77777777" w:rsidR="000342C4" w:rsidRDefault="000342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7333" w14:textId="08024055" w:rsidR="00163C18" w:rsidRDefault="00163C18" w:rsidP="00DA3524">
    <w:pPr>
      <w:pStyle w:val="Encabezado"/>
    </w:pPr>
    <w:r>
      <w:rPr>
        <w:noProof/>
        <w:lang w:eastAsia="es-ES"/>
      </w:rPr>
      <w:drawing>
        <wp:anchor distT="0" distB="0" distL="114300" distR="114300" simplePos="0" relativeHeight="251673600" behindDoc="0" locked="0" layoutInCell="1" allowOverlap="1" wp14:anchorId="3E267F45" wp14:editId="41F0BE80">
          <wp:simplePos x="0" y="0"/>
          <wp:positionH relativeFrom="column">
            <wp:posOffset>3499485</wp:posOffset>
          </wp:positionH>
          <wp:positionV relativeFrom="paragraph">
            <wp:posOffset>10160</wp:posOffset>
          </wp:positionV>
          <wp:extent cx="2108835" cy="485140"/>
          <wp:effectExtent l="0" t="0" r="571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financiado_derecha-300x69.png"/>
                  <pic:cNvPicPr/>
                </pic:nvPicPr>
                <pic:blipFill>
                  <a:blip r:embed="rId1">
                    <a:extLst>
                      <a:ext uri="{28A0092B-C50C-407E-A947-70E740481C1C}">
                        <a14:useLocalDpi xmlns:a14="http://schemas.microsoft.com/office/drawing/2010/main" val="0"/>
                      </a:ext>
                    </a:extLst>
                  </a:blip>
                  <a:stretch>
                    <a:fillRect/>
                  </a:stretch>
                </pic:blipFill>
                <pic:spPr>
                  <a:xfrm>
                    <a:off x="0" y="0"/>
                    <a:ext cx="2108835" cy="48514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71552" behindDoc="0" locked="0" layoutInCell="1" allowOverlap="1" wp14:anchorId="3D8A00E8" wp14:editId="3DC63FE1">
          <wp:simplePos x="0" y="0"/>
          <wp:positionH relativeFrom="margin">
            <wp:align>left</wp:align>
          </wp:positionH>
          <wp:positionV relativeFrom="paragraph">
            <wp:posOffset>-47625</wp:posOffset>
          </wp:positionV>
          <wp:extent cx="1524000" cy="577215"/>
          <wp:effectExtent l="0" t="0" r="0" b="0"/>
          <wp:wrapNone/>
          <wp:docPr id="1" name="Imagen 1" descr="C:\Users\juanluis.vidal\AppData\Local\Microsoft\Windows\INetCache\Content.Word\Logo-uneatlan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luis.vidal\AppData\Local\Microsoft\Windows\INetCache\Content.Word\Logo-uneatlantic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4539A" w14:textId="6140A4E1" w:rsidR="00163C18" w:rsidRDefault="00163C18" w:rsidP="00DA3524">
    <w:pPr>
      <w:pStyle w:val="Encabezado"/>
    </w:pPr>
  </w:p>
  <w:p w14:paraId="69C8203F" w14:textId="77777777" w:rsidR="00163C18" w:rsidRPr="00515B7D" w:rsidRDefault="00163C18" w:rsidP="00DA3524"/>
  <w:p w14:paraId="309AE6CC" w14:textId="77777777" w:rsidR="00837838" w:rsidRDefault="00837838" w:rsidP="00DA352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94C0" w14:textId="0345794E" w:rsidR="00B9255D" w:rsidRDefault="00B9255D" w:rsidP="00DA3524">
    <w:pPr>
      <w:pStyle w:val="Encabezado"/>
    </w:pPr>
    <w:r>
      <w:rPr>
        <w:noProof/>
        <w:lang w:eastAsia="es-ES"/>
      </w:rPr>
      <w:drawing>
        <wp:anchor distT="0" distB="0" distL="114300" distR="114300" simplePos="0" relativeHeight="251664384" behindDoc="1" locked="0" layoutInCell="1" allowOverlap="1" wp14:anchorId="74A64565" wp14:editId="3524EF08">
          <wp:simplePos x="0" y="0"/>
          <wp:positionH relativeFrom="margin">
            <wp:posOffset>215265</wp:posOffset>
          </wp:positionH>
          <wp:positionV relativeFrom="paragraph">
            <wp:posOffset>-59690</wp:posOffset>
          </wp:positionV>
          <wp:extent cx="1144469" cy="1072515"/>
          <wp:effectExtent l="0" t="0" r="0" b="0"/>
          <wp:wrapTight wrapText="bothSides">
            <wp:wrapPolygon edited="0">
              <wp:start x="0" y="0"/>
              <wp:lineTo x="0" y="21101"/>
              <wp:lineTo x="21216" y="21101"/>
              <wp:lineTo x="21216" y="0"/>
              <wp:lineTo x="0" y="0"/>
            </wp:wrapPolygon>
          </wp:wrapTight>
          <wp:docPr id="2" name="Imagen 2" descr="http://www.formdeportiva.com/wp-content/uploads/2015/07/11535800_833685033367415_697652827633497893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rmdeportiva.com/wp-content/uploads/2015/07/11535800_833685033367415_6976528276334978932_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469" cy="1072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D07D97" w14:textId="1B4B5C69" w:rsidR="00B9255D" w:rsidRDefault="00593084" w:rsidP="00DA3524">
    <w:pPr>
      <w:pStyle w:val="Encabezado"/>
    </w:pPr>
    <w:r>
      <w:rPr>
        <w:noProof/>
        <w:lang w:eastAsia="es-ES"/>
      </w:rPr>
      <w:drawing>
        <wp:anchor distT="0" distB="0" distL="114300" distR="114300" simplePos="0" relativeHeight="251669504" behindDoc="0" locked="0" layoutInCell="1" allowOverlap="1" wp14:anchorId="4727C575" wp14:editId="6B433C1E">
          <wp:simplePos x="0" y="0"/>
          <wp:positionH relativeFrom="column">
            <wp:posOffset>3781425</wp:posOffset>
          </wp:positionH>
          <wp:positionV relativeFrom="paragraph">
            <wp:posOffset>46990</wp:posOffset>
          </wp:positionV>
          <wp:extent cx="2109304" cy="485140"/>
          <wp:effectExtent l="0" t="0" r="571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financiado_derecha-300x69.png"/>
                  <pic:cNvPicPr/>
                </pic:nvPicPr>
                <pic:blipFill>
                  <a:blip r:embed="rId2">
                    <a:extLst>
                      <a:ext uri="{28A0092B-C50C-407E-A947-70E740481C1C}">
                        <a14:useLocalDpi xmlns:a14="http://schemas.microsoft.com/office/drawing/2010/main" val="0"/>
                      </a:ext>
                    </a:extLst>
                  </a:blip>
                  <a:stretch>
                    <a:fillRect/>
                  </a:stretch>
                </pic:blipFill>
                <pic:spPr>
                  <a:xfrm>
                    <a:off x="0" y="0"/>
                    <a:ext cx="2109304" cy="485140"/>
                  </a:xfrm>
                  <a:prstGeom prst="rect">
                    <a:avLst/>
                  </a:prstGeom>
                </pic:spPr>
              </pic:pic>
            </a:graphicData>
          </a:graphic>
          <wp14:sizeRelH relativeFrom="page">
            <wp14:pctWidth>0</wp14:pctWidth>
          </wp14:sizeRelH>
          <wp14:sizeRelV relativeFrom="page">
            <wp14:pctHeight>0</wp14:pctHeight>
          </wp14:sizeRelV>
        </wp:anchor>
      </w:drawing>
    </w:r>
  </w:p>
  <w:p w14:paraId="276EDCA7" w14:textId="4B0B48CC" w:rsidR="00B9255D" w:rsidRDefault="001B0AFB" w:rsidP="00DA3524">
    <w:pPr>
      <w:pStyle w:val="Encabezado"/>
    </w:pPr>
    <w:r>
      <w:tab/>
    </w:r>
    <w:r>
      <w:tab/>
    </w:r>
    <w:r>
      <w:tab/>
    </w:r>
    <w:r>
      <w:tab/>
    </w:r>
    <w:r>
      <w:tab/>
    </w:r>
  </w:p>
  <w:p w14:paraId="6313C17E" w14:textId="77777777" w:rsidR="00B9255D" w:rsidRDefault="00B9255D" w:rsidP="00DA3524">
    <w:pPr>
      <w:pStyle w:val="Encabezado"/>
    </w:pPr>
  </w:p>
  <w:p w14:paraId="07F2DBEA" w14:textId="77777777" w:rsidR="00B9255D" w:rsidRDefault="00B9255D" w:rsidP="00DA3524">
    <w:pPr>
      <w:pStyle w:val="Encabezado"/>
    </w:pPr>
  </w:p>
  <w:p w14:paraId="0AEB4B05" w14:textId="77777777" w:rsidR="00B9255D" w:rsidRDefault="00B9255D" w:rsidP="00DA3524">
    <w:pPr>
      <w:pStyle w:val="Encabezado"/>
    </w:pPr>
  </w:p>
  <w:p w14:paraId="7FA9BC54" w14:textId="77777777" w:rsidR="00B9255D" w:rsidRDefault="00B9255D" w:rsidP="00DA35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320"/>
    <w:multiLevelType w:val="hybridMultilevel"/>
    <w:tmpl w:val="BE86C4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715CEE"/>
    <w:multiLevelType w:val="hybridMultilevel"/>
    <w:tmpl w:val="7A765F16"/>
    <w:lvl w:ilvl="0" w:tplc="72163BDA">
      <w:start w:val="1"/>
      <w:numFmt w:val="upperRoman"/>
      <w:lvlText w:val="%1."/>
      <w:lvlJc w:val="left"/>
      <w:pPr>
        <w:ind w:left="153" w:hanging="720"/>
      </w:pPr>
      <w:rPr>
        <w:rFonts w:hint="default"/>
      </w:rPr>
    </w:lvl>
    <w:lvl w:ilvl="1" w:tplc="0C0A0019">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 w15:restartNumberingAfterBreak="0">
    <w:nsid w:val="08A95D0C"/>
    <w:multiLevelType w:val="hybridMultilevel"/>
    <w:tmpl w:val="A0426A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B63E7F"/>
    <w:multiLevelType w:val="hybridMultilevel"/>
    <w:tmpl w:val="C0D4F4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E745FD"/>
    <w:multiLevelType w:val="hybridMultilevel"/>
    <w:tmpl w:val="8F985A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B916DB"/>
    <w:multiLevelType w:val="hybridMultilevel"/>
    <w:tmpl w:val="F59E72DE"/>
    <w:lvl w:ilvl="0" w:tplc="0C0A0019">
      <w:start w:val="1"/>
      <w:numFmt w:val="lowerLetter"/>
      <w:lvlText w:val="%1."/>
      <w:lvlJc w:val="left"/>
      <w:pPr>
        <w:ind w:left="1233" w:hanging="360"/>
      </w:pPr>
    </w:lvl>
    <w:lvl w:ilvl="1" w:tplc="0C0A0019" w:tentative="1">
      <w:start w:val="1"/>
      <w:numFmt w:val="lowerLetter"/>
      <w:lvlText w:val="%2."/>
      <w:lvlJc w:val="left"/>
      <w:pPr>
        <w:ind w:left="1953" w:hanging="360"/>
      </w:pPr>
    </w:lvl>
    <w:lvl w:ilvl="2" w:tplc="0C0A001B" w:tentative="1">
      <w:start w:val="1"/>
      <w:numFmt w:val="lowerRoman"/>
      <w:lvlText w:val="%3."/>
      <w:lvlJc w:val="right"/>
      <w:pPr>
        <w:ind w:left="2673" w:hanging="180"/>
      </w:pPr>
    </w:lvl>
    <w:lvl w:ilvl="3" w:tplc="0C0A000F" w:tentative="1">
      <w:start w:val="1"/>
      <w:numFmt w:val="decimal"/>
      <w:lvlText w:val="%4."/>
      <w:lvlJc w:val="left"/>
      <w:pPr>
        <w:ind w:left="3393" w:hanging="360"/>
      </w:pPr>
    </w:lvl>
    <w:lvl w:ilvl="4" w:tplc="0C0A0019" w:tentative="1">
      <w:start w:val="1"/>
      <w:numFmt w:val="lowerLetter"/>
      <w:lvlText w:val="%5."/>
      <w:lvlJc w:val="left"/>
      <w:pPr>
        <w:ind w:left="4113" w:hanging="360"/>
      </w:pPr>
    </w:lvl>
    <w:lvl w:ilvl="5" w:tplc="0C0A001B" w:tentative="1">
      <w:start w:val="1"/>
      <w:numFmt w:val="lowerRoman"/>
      <w:lvlText w:val="%6."/>
      <w:lvlJc w:val="right"/>
      <w:pPr>
        <w:ind w:left="4833" w:hanging="180"/>
      </w:pPr>
    </w:lvl>
    <w:lvl w:ilvl="6" w:tplc="0C0A000F" w:tentative="1">
      <w:start w:val="1"/>
      <w:numFmt w:val="decimal"/>
      <w:lvlText w:val="%7."/>
      <w:lvlJc w:val="left"/>
      <w:pPr>
        <w:ind w:left="5553" w:hanging="360"/>
      </w:pPr>
    </w:lvl>
    <w:lvl w:ilvl="7" w:tplc="0C0A0019" w:tentative="1">
      <w:start w:val="1"/>
      <w:numFmt w:val="lowerLetter"/>
      <w:lvlText w:val="%8."/>
      <w:lvlJc w:val="left"/>
      <w:pPr>
        <w:ind w:left="6273" w:hanging="360"/>
      </w:pPr>
    </w:lvl>
    <w:lvl w:ilvl="8" w:tplc="0C0A001B" w:tentative="1">
      <w:start w:val="1"/>
      <w:numFmt w:val="lowerRoman"/>
      <w:lvlText w:val="%9."/>
      <w:lvlJc w:val="right"/>
      <w:pPr>
        <w:ind w:left="6993" w:hanging="180"/>
      </w:pPr>
    </w:lvl>
  </w:abstractNum>
  <w:abstractNum w:abstractNumId="6" w15:restartNumberingAfterBreak="0">
    <w:nsid w:val="12214016"/>
    <w:multiLevelType w:val="hybridMultilevel"/>
    <w:tmpl w:val="99AA7D80"/>
    <w:lvl w:ilvl="0" w:tplc="A31625AC">
      <w:start w:val="1"/>
      <w:numFmt w:val="upperRoman"/>
      <w:pStyle w:val="Ttulo1"/>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4C57A8B"/>
    <w:multiLevelType w:val="hybridMultilevel"/>
    <w:tmpl w:val="593CA4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CBA1D89"/>
    <w:multiLevelType w:val="hybridMultilevel"/>
    <w:tmpl w:val="D5A00DFA"/>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9" w15:restartNumberingAfterBreak="0">
    <w:nsid w:val="3428194A"/>
    <w:multiLevelType w:val="hybridMultilevel"/>
    <w:tmpl w:val="4E2C75CC"/>
    <w:lvl w:ilvl="0" w:tplc="1AFA2B8E">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0" w15:restartNumberingAfterBreak="0">
    <w:nsid w:val="343511CD"/>
    <w:multiLevelType w:val="hybridMultilevel"/>
    <w:tmpl w:val="4382350C"/>
    <w:lvl w:ilvl="0" w:tplc="D2E894C8">
      <w:start w:val="4"/>
      <w:numFmt w:val="upperRoman"/>
      <w:lvlText w:val="%1."/>
      <w:lvlJc w:val="right"/>
      <w:pPr>
        <w:ind w:left="720" w:hanging="720"/>
      </w:pPr>
      <w:rPr>
        <w:rFonts w:hint="default"/>
      </w:r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15:restartNumberingAfterBreak="0">
    <w:nsid w:val="48D13D94"/>
    <w:multiLevelType w:val="hybridMultilevel"/>
    <w:tmpl w:val="0D8C1DB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AD7700B"/>
    <w:multiLevelType w:val="hybridMultilevel"/>
    <w:tmpl w:val="584A7AA6"/>
    <w:lvl w:ilvl="0" w:tplc="0C0A0017">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3" w15:restartNumberingAfterBreak="0">
    <w:nsid w:val="51F57230"/>
    <w:multiLevelType w:val="hybridMultilevel"/>
    <w:tmpl w:val="D71E4B4E"/>
    <w:lvl w:ilvl="0" w:tplc="0C0A0013">
      <w:start w:val="1"/>
      <w:numFmt w:val="upperRoman"/>
      <w:lvlText w:val="%1."/>
      <w:lvlJc w:val="right"/>
      <w:pPr>
        <w:ind w:left="153" w:hanging="720"/>
      </w:pPr>
      <w:rPr>
        <w:rFonts w:hint="default"/>
      </w:rPr>
    </w:lvl>
    <w:lvl w:ilvl="1" w:tplc="0C0A0019">
      <w:start w:val="1"/>
      <w:numFmt w:val="lowerLetter"/>
      <w:lvlText w:val="%2."/>
      <w:lvlJc w:val="left"/>
      <w:pPr>
        <w:ind w:left="513" w:hanging="360"/>
      </w:pPr>
    </w:lvl>
    <w:lvl w:ilvl="2" w:tplc="0C0A0017">
      <w:start w:val="1"/>
      <w:numFmt w:val="lowerLetter"/>
      <w:lvlText w:val="%3)"/>
      <w:lvlJc w:val="left"/>
      <w:pPr>
        <w:ind w:left="1233" w:hanging="180"/>
      </w:pPr>
    </w:lvl>
    <w:lvl w:ilvl="3" w:tplc="A3E079C8">
      <w:start w:val="1"/>
      <w:numFmt w:val="decimal"/>
      <w:lvlText w:val="%4)"/>
      <w:lvlJc w:val="left"/>
      <w:pPr>
        <w:ind w:left="1953" w:hanging="360"/>
      </w:pPr>
      <w:rPr>
        <w:rFonts w:hint="default"/>
      </w:r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4" w15:restartNumberingAfterBreak="0">
    <w:nsid w:val="592A57EA"/>
    <w:multiLevelType w:val="hybridMultilevel"/>
    <w:tmpl w:val="AA32EB62"/>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2C5603"/>
    <w:multiLevelType w:val="hybridMultilevel"/>
    <w:tmpl w:val="1040D68A"/>
    <w:lvl w:ilvl="0" w:tplc="44F4B700">
      <w:start w:val="90"/>
      <w:numFmt w:val="bullet"/>
      <w:lvlText w:val="-"/>
      <w:lvlJc w:val="left"/>
      <w:pPr>
        <w:ind w:left="1211" w:hanging="360"/>
      </w:pPr>
      <w:rPr>
        <w:rFonts w:ascii="Calibri" w:eastAsiaTheme="minorHAnsi" w:hAnsi="Calibri" w:cs="Calibri"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6" w15:restartNumberingAfterBreak="0">
    <w:nsid w:val="6B2A7388"/>
    <w:multiLevelType w:val="hybridMultilevel"/>
    <w:tmpl w:val="EEA6FBC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B6E2E74"/>
    <w:multiLevelType w:val="hybridMultilevel"/>
    <w:tmpl w:val="532C4AE8"/>
    <w:lvl w:ilvl="0" w:tplc="0C0A0015">
      <w:start w:val="1"/>
      <w:numFmt w:val="upperLetter"/>
      <w:lvlText w:val="%1."/>
      <w:lvlJc w:val="left"/>
      <w:pPr>
        <w:ind w:left="720" w:hanging="360"/>
      </w:pPr>
    </w:lvl>
    <w:lvl w:ilvl="1" w:tplc="0C0A001B">
      <w:start w:val="1"/>
      <w:numFmt w:val="lowerRoman"/>
      <w:lvlText w:val="%2."/>
      <w:lvlJc w:val="right"/>
      <w:pPr>
        <w:ind w:left="1440" w:hanging="360"/>
      </w:pPr>
    </w:lvl>
    <w:lvl w:ilvl="2" w:tplc="F334DAF6">
      <w:start w:val="1"/>
      <w:numFmt w:val="bullet"/>
      <w:lvlText w:val="-"/>
      <w:lvlJc w:val="left"/>
      <w:pPr>
        <w:ind w:left="2340" w:hanging="360"/>
      </w:pPr>
      <w:rPr>
        <w:rFonts w:ascii="Calibri Light" w:eastAsiaTheme="minorHAnsi" w:hAnsi="Calibri Light"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346526">
    <w:abstractNumId w:val="7"/>
  </w:num>
  <w:num w:numId="2" w16cid:durableId="601449224">
    <w:abstractNumId w:val="4"/>
  </w:num>
  <w:num w:numId="3" w16cid:durableId="542210516">
    <w:abstractNumId w:val="0"/>
  </w:num>
  <w:num w:numId="4" w16cid:durableId="240607965">
    <w:abstractNumId w:val="17"/>
  </w:num>
  <w:num w:numId="5" w16cid:durableId="1608536519">
    <w:abstractNumId w:val="8"/>
  </w:num>
  <w:num w:numId="6" w16cid:durableId="1838573410">
    <w:abstractNumId w:val="16"/>
  </w:num>
  <w:num w:numId="7" w16cid:durableId="608660736">
    <w:abstractNumId w:val="13"/>
  </w:num>
  <w:num w:numId="8" w16cid:durableId="1530528473">
    <w:abstractNumId w:val="1"/>
  </w:num>
  <w:num w:numId="9" w16cid:durableId="695887556">
    <w:abstractNumId w:val="14"/>
  </w:num>
  <w:num w:numId="10" w16cid:durableId="836771257">
    <w:abstractNumId w:val="5"/>
  </w:num>
  <w:num w:numId="11" w16cid:durableId="1070349711">
    <w:abstractNumId w:val="2"/>
  </w:num>
  <w:num w:numId="12" w16cid:durableId="1002391227">
    <w:abstractNumId w:val="3"/>
  </w:num>
  <w:num w:numId="13" w16cid:durableId="57095886">
    <w:abstractNumId w:val="10"/>
  </w:num>
  <w:num w:numId="14" w16cid:durableId="1951432675">
    <w:abstractNumId w:val="11"/>
  </w:num>
  <w:num w:numId="15" w16cid:durableId="1975868112">
    <w:abstractNumId w:val="6"/>
  </w:num>
  <w:num w:numId="16" w16cid:durableId="137457276">
    <w:abstractNumId w:val="12"/>
  </w:num>
  <w:num w:numId="17" w16cid:durableId="1090085763">
    <w:abstractNumId w:val="9"/>
  </w:num>
  <w:num w:numId="18" w16cid:durableId="2584863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838"/>
    <w:rsid w:val="00006735"/>
    <w:rsid w:val="00012EF8"/>
    <w:rsid w:val="0001516A"/>
    <w:rsid w:val="00031857"/>
    <w:rsid w:val="000325B4"/>
    <w:rsid w:val="000342C4"/>
    <w:rsid w:val="00073C09"/>
    <w:rsid w:val="00090F84"/>
    <w:rsid w:val="000C0E32"/>
    <w:rsid w:val="000C169A"/>
    <w:rsid w:val="000D504E"/>
    <w:rsid w:val="000F2E98"/>
    <w:rsid w:val="000F48DD"/>
    <w:rsid w:val="00102790"/>
    <w:rsid w:val="0011097F"/>
    <w:rsid w:val="001401E7"/>
    <w:rsid w:val="00140A58"/>
    <w:rsid w:val="001538B4"/>
    <w:rsid w:val="00163C18"/>
    <w:rsid w:val="00173214"/>
    <w:rsid w:val="001819FA"/>
    <w:rsid w:val="00185C22"/>
    <w:rsid w:val="00185F77"/>
    <w:rsid w:val="0019101F"/>
    <w:rsid w:val="0019691E"/>
    <w:rsid w:val="001A2504"/>
    <w:rsid w:val="001A57BA"/>
    <w:rsid w:val="001B0AFB"/>
    <w:rsid w:val="001C7367"/>
    <w:rsid w:val="001C7E32"/>
    <w:rsid w:val="001E1C5F"/>
    <w:rsid w:val="00202BCF"/>
    <w:rsid w:val="002118C5"/>
    <w:rsid w:val="0021397D"/>
    <w:rsid w:val="00214EF0"/>
    <w:rsid w:val="0022435E"/>
    <w:rsid w:val="00236286"/>
    <w:rsid w:val="00245C1E"/>
    <w:rsid w:val="00246B43"/>
    <w:rsid w:val="00251C55"/>
    <w:rsid w:val="002564FD"/>
    <w:rsid w:val="0026497B"/>
    <w:rsid w:val="00266730"/>
    <w:rsid w:val="002903CC"/>
    <w:rsid w:val="002918AE"/>
    <w:rsid w:val="002943BA"/>
    <w:rsid w:val="002B2927"/>
    <w:rsid w:val="002B703C"/>
    <w:rsid w:val="002B7764"/>
    <w:rsid w:val="002C1AF5"/>
    <w:rsid w:val="002C4A5B"/>
    <w:rsid w:val="002D1A2C"/>
    <w:rsid w:val="002D6DEE"/>
    <w:rsid w:val="002E2676"/>
    <w:rsid w:val="002E476B"/>
    <w:rsid w:val="002F0B6A"/>
    <w:rsid w:val="002F7AB4"/>
    <w:rsid w:val="00300967"/>
    <w:rsid w:val="00311718"/>
    <w:rsid w:val="003142FB"/>
    <w:rsid w:val="00315BA7"/>
    <w:rsid w:val="00326FF3"/>
    <w:rsid w:val="00350D04"/>
    <w:rsid w:val="00350E83"/>
    <w:rsid w:val="00354B4F"/>
    <w:rsid w:val="00360F87"/>
    <w:rsid w:val="003645B3"/>
    <w:rsid w:val="00370DBA"/>
    <w:rsid w:val="00373009"/>
    <w:rsid w:val="00377052"/>
    <w:rsid w:val="00383D26"/>
    <w:rsid w:val="003877CC"/>
    <w:rsid w:val="003B761D"/>
    <w:rsid w:val="003C508C"/>
    <w:rsid w:val="003C6B38"/>
    <w:rsid w:val="003E2AF6"/>
    <w:rsid w:val="003E416E"/>
    <w:rsid w:val="003E59FF"/>
    <w:rsid w:val="003F0BE8"/>
    <w:rsid w:val="003F5375"/>
    <w:rsid w:val="003F6B23"/>
    <w:rsid w:val="00411C39"/>
    <w:rsid w:val="004135DA"/>
    <w:rsid w:val="004344F4"/>
    <w:rsid w:val="00442825"/>
    <w:rsid w:val="004620D6"/>
    <w:rsid w:val="004622D7"/>
    <w:rsid w:val="00474CEE"/>
    <w:rsid w:val="0048274A"/>
    <w:rsid w:val="00497381"/>
    <w:rsid w:val="004973CA"/>
    <w:rsid w:val="004A307D"/>
    <w:rsid w:val="004A67D3"/>
    <w:rsid w:val="004B000C"/>
    <w:rsid w:val="004C4E7E"/>
    <w:rsid w:val="004C6C0B"/>
    <w:rsid w:val="004C6E6D"/>
    <w:rsid w:val="00501426"/>
    <w:rsid w:val="005057D4"/>
    <w:rsid w:val="00515ED2"/>
    <w:rsid w:val="00517749"/>
    <w:rsid w:val="00525B17"/>
    <w:rsid w:val="005359C6"/>
    <w:rsid w:val="00537BBA"/>
    <w:rsid w:val="00551082"/>
    <w:rsid w:val="00557954"/>
    <w:rsid w:val="00580722"/>
    <w:rsid w:val="005817F6"/>
    <w:rsid w:val="00583B81"/>
    <w:rsid w:val="00587CCE"/>
    <w:rsid w:val="005922E3"/>
    <w:rsid w:val="00593084"/>
    <w:rsid w:val="005B28C0"/>
    <w:rsid w:val="005B7A12"/>
    <w:rsid w:val="005D3536"/>
    <w:rsid w:val="005D7F32"/>
    <w:rsid w:val="005F5741"/>
    <w:rsid w:val="005F66FD"/>
    <w:rsid w:val="00603B76"/>
    <w:rsid w:val="00610B16"/>
    <w:rsid w:val="006154DA"/>
    <w:rsid w:val="00617A51"/>
    <w:rsid w:val="00624D38"/>
    <w:rsid w:val="0062509D"/>
    <w:rsid w:val="00635966"/>
    <w:rsid w:val="006361FD"/>
    <w:rsid w:val="00643122"/>
    <w:rsid w:val="006438F0"/>
    <w:rsid w:val="006446BF"/>
    <w:rsid w:val="006631CA"/>
    <w:rsid w:val="00672B63"/>
    <w:rsid w:val="006756B8"/>
    <w:rsid w:val="00680120"/>
    <w:rsid w:val="006801BF"/>
    <w:rsid w:val="00683BDA"/>
    <w:rsid w:val="00685457"/>
    <w:rsid w:val="00692ACF"/>
    <w:rsid w:val="0069301D"/>
    <w:rsid w:val="00696B86"/>
    <w:rsid w:val="006972DC"/>
    <w:rsid w:val="006A49D1"/>
    <w:rsid w:val="006A7FBC"/>
    <w:rsid w:val="006B5F01"/>
    <w:rsid w:val="006C55CA"/>
    <w:rsid w:val="006C7106"/>
    <w:rsid w:val="006D0F6F"/>
    <w:rsid w:val="006E7AD3"/>
    <w:rsid w:val="006F1180"/>
    <w:rsid w:val="006F3D15"/>
    <w:rsid w:val="007007BC"/>
    <w:rsid w:val="00700B27"/>
    <w:rsid w:val="007109BB"/>
    <w:rsid w:val="007209F9"/>
    <w:rsid w:val="00720D3F"/>
    <w:rsid w:val="00726266"/>
    <w:rsid w:val="007316E8"/>
    <w:rsid w:val="0073479B"/>
    <w:rsid w:val="00737271"/>
    <w:rsid w:val="00740468"/>
    <w:rsid w:val="0074570F"/>
    <w:rsid w:val="007538ED"/>
    <w:rsid w:val="00753FF3"/>
    <w:rsid w:val="00760F7F"/>
    <w:rsid w:val="00777648"/>
    <w:rsid w:val="007777BA"/>
    <w:rsid w:val="00792524"/>
    <w:rsid w:val="007B4983"/>
    <w:rsid w:val="007C6F73"/>
    <w:rsid w:val="007D22C5"/>
    <w:rsid w:val="007F4647"/>
    <w:rsid w:val="007F54C1"/>
    <w:rsid w:val="008003B0"/>
    <w:rsid w:val="00805DD0"/>
    <w:rsid w:val="0081369F"/>
    <w:rsid w:val="008138A3"/>
    <w:rsid w:val="00817253"/>
    <w:rsid w:val="00821B2A"/>
    <w:rsid w:val="0082537D"/>
    <w:rsid w:val="00832B71"/>
    <w:rsid w:val="00837838"/>
    <w:rsid w:val="00841820"/>
    <w:rsid w:val="00841B69"/>
    <w:rsid w:val="008506F3"/>
    <w:rsid w:val="00861BF5"/>
    <w:rsid w:val="00870ACF"/>
    <w:rsid w:val="00883534"/>
    <w:rsid w:val="00890817"/>
    <w:rsid w:val="00896047"/>
    <w:rsid w:val="0089723C"/>
    <w:rsid w:val="008B2CA1"/>
    <w:rsid w:val="008B30D5"/>
    <w:rsid w:val="008C4460"/>
    <w:rsid w:val="008D3379"/>
    <w:rsid w:val="008F3CD1"/>
    <w:rsid w:val="009002BB"/>
    <w:rsid w:val="0090428B"/>
    <w:rsid w:val="00907642"/>
    <w:rsid w:val="00907CA9"/>
    <w:rsid w:val="00916DAD"/>
    <w:rsid w:val="00917331"/>
    <w:rsid w:val="009226A0"/>
    <w:rsid w:val="00931C5B"/>
    <w:rsid w:val="00933A19"/>
    <w:rsid w:val="009411DF"/>
    <w:rsid w:val="009524F9"/>
    <w:rsid w:val="00965707"/>
    <w:rsid w:val="00976331"/>
    <w:rsid w:val="00976FB3"/>
    <w:rsid w:val="0098217F"/>
    <w:rsid w:val="009864FE"/>
    <w:rsid w:val="00993E6C"/>
    <w:rsid w:val="00994BD9"/>
    <w:rsid w:val="009C02CF"/>
    <w:rsid w:val="009C7D0E"/>
    <w:rsid w:val="009E151A"/>
    <w:rsid w:val="009E1754"/>
    <w:rsid w:val="009F1F11"/>
    <w:rsid w:val="00A00D78"/>
    <w:rsid w:val="00A01ADC"/>
    <w:rsid w:val="00A035EE"/>
    <w:rsid w:val="00A05F4B"/>
    <w:rsid w:val="00A0758E"/>
    <w:rsid w:val="00A102E4"/>
    <w:rsid w:val="00A13832"/>
    <w:rsid w:val="00A14FD1"/>
    <w:rsid w:val="00A20DE7"/>
    <w:rsid w:val="00A30F0D"/>
    <w:rsid w:val="00A31C45"/>
    <w:rsid w:val="00A45CB5"/>
    <w:rsid w:val="00A47C8B"/>
    <w:rsid w:val="00A541C3"/>
    <w:rsid w:val="00A6475B"/>
    <w:rsid w:val="00A80448"/>
    <w:rsid w:val="00A91B7A"/>
    <w:rsid w:val="00AA0A17"/>
    <w:rsid w:val="00AA53CA"/>
    <w:rsid w:val="00AB1F6E"/>
    <w:rsid w:val="00AB4BED"/>
    <w:rsid w:val="00AD1215"/>
    <w:rsid w:val="00AF2C7A"/>
    <w:rsid w:val="00AF3DCF"/>
    <w:rsid w:val="00B32732"/>
    <w:rsid w:val="00B64DCF"/>
    <w:rsid w:val="00B73596"/>
    <w:rsid w:val="00B7788E"/>
    <w:rsid w:val="00B85EA0"/>
    <w:rsid w:val="00B9255D"/>
    <w:rsid w:val="00BA7AF6"/>
    <w:rsid w:val="00BB0FE0"/>
    <w:rsid w:val="00BB4304"/>
    <w:rsid w:val="00BB6ADC"/>
    <w:rsid w:val="00BC32DD"/>
    <w:rsid w:val="00BC6C11"/>
    <w:rsid w:val="00BD2AB2"/>
    <w:rsid w:val="00BD3C43"/>
    <w:rsid w:val="00BD3D6A"/>
    <w:rsid w:val="00BD4BCC"/>
    <w:rsid w:val="00BE2E82"/>
    <w:rsid w:val="00BE5335"/>
    <w:rsid w:val="00BF55F1"/>
    <w:rsid w:val="00BF7DA0"/>
    <w:rsid w:val="00C129D3"/>
    <w:rsid w:val="00C17F2A"/>
    <w:rsid w:val="00C201E5"/>
    <w:rsid w:val="00C431DC"/>
    <w:rsid w:val="00C44578"/>
    <w:rsid w:val="00C4780C"/>
    <w:rsid w:val="00C65345"/>
    <w:rsid w:val="00C7124D"/>
    <w:rsid w:val="00C76129"/>
    <w:rsid w:val="00C9311A"/>
    <w:rsid w:val="00C97E4F"/>
    <w:rsid w:val="00CA70B8"/>
    <w:rsid w:val="00CF33E7"/>
    <w:rsid w:val="00CF43A3"/>
    <w:rsid w:val="00CF6228"/>
    <w:rsid w:val="00D03DB4"/>
    <w:rsid w:val="00D20D76"/>
    <w:rsid w:val="00D20F5C"/>
    <w:rsid w:val="00D23A4D"/>
    <w:rsid w:val="00D30DC3"/>
    <w:rsid w:val="00D37715"/>
    <w:rsid w:val="00D4178E"/>
    <w:rsid w:val="00D8016F"/>
    <w:rsid w:val="00D8179D"/>
    <w:rsid w:val="00D87D4E"/>
    <w:rsid w:val="00D94EC6"/>
    <w:rsid w:val="00D94F1F"/>
    <w:rsid w:val="00DA3524"/>
    <w:rsid w:val="00DA6B6E"/>
    <w:rsid w:val="00DB4533"/>
    <w:rsid w:val="00DB610D"/>
    <w:rsid w:val="00DB64AF"/>
    <w:rsid w:val="00DB7446"/>
    <w:rsid w:val="00DD1E7D"/>
    <w:rsid w:val="00DE47DE"/>
    <w:rsid w:val="00E021F5"/>
    <w:rsid w:val="00E11777"/>
    <w:rsid w:val="00E3487B"/>
    <w:rsid w:val="00E577C4"/>
    <w:rsid w:val="00E85552"/>
    <w:rsid w:val="00E86A31"/>
    <w:rsid w:val="00E92FB9"/>
    <w:rsid w:val="00E93711"/>
    <w:rsid w:val="00E970FA"/>
    <w:rsid w:val="00EA65D2"/>
    <w:rsid w:val="00EB66DE"/>
    <w:rsid w:val="00EC7D42"/>
    <w:rsid w:val="00EE6627"/>
    <w:rsid w:val="00F03559"/>
    <w:rsid w:val="00F038A2"/>
    <w:rsid w:val="00F052D3"/>
    <w:rsid w:val="00F17568"/>
    <w:rsid w:val="00F204FF"/>
    <w:rsid w:val="00F629A5"/>
    <w:rsid w:val="00F654DE"/>
    <w:rsid w:val="00F66880"/>
    <w:rsid w:val="00F67AA5"/>
    <w:rsid w:val="00F730BF"/>
    <w:rsid w:val="00F74296"/>
    <w:rsid w:val="00FA35AE"/>
    <w:rsid w:val="00FA57DE"/>
    <w:rsid w:val="00FC3C17"/>
    <w:rsid w:val="00FC474E"/>
    <w:rsid w:val="00FE3C7D"/>
    <w:rsid w:val="00FE5241"/>
    <w:rsid w:val="00FF051F"/>
    <w:rsid w:val="00FF3D9D"/>
    <w:rsid w:val="00FF47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0854F"/>
  <w15:chartTrackingRefBased/>
  <w15:docId w15:val="{583946ED-30C4-415A-AAB4-3AD9177B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24"/>
    <w:pPr>
      <w:spacing w:after="240" w:line="276" w:lineRule="auto"/>
      <w:ind w:left="851"/>
      <w:jc w:val="both"/>
    </w:pPr>
  </w:style>
  <w:style w:type="paragraph" w:styleId="Ttulo1">
    <w:name w:val="heading 1"/>
    <w:basedOn w:val="Prrafodelista"/>
    <w:next w:val="Normal"/>
    <w:link w:val="Ttulo1Car"/>
    <w:qFormat/>
    <w:rsid w:val="00A035EE"/>
    <w:pPr>
      <w:numPr>
        <w:numId w:val="15"/>
      </w:numP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78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7838"/>
  </w:style>
  <w:style w:type="paragraph" w:styleId="Piedepgina">
    <w:name w:val="footer"/>
    <w:basedOn w:val="Normal"/>
    <w:link w:val="PiedepginaCar"/>
    <w:uiPriority w:val="99"/>
    <w:unhideWhenUsed/>
    <w:rsid w:val="008378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7838"/>
  </w:style>
  <w:style w:type="paragraph" w:styleId="Prrafodelista">
    <w:name w:val="List Paragraph"/>
    <w:basedOn w:val="Normal"/>
    <w:uiPriority w:val="34"/>
    <w:qFormat/>
    <w:rsid w:val="00603B76"/>
    <w:pPr>
      <w:ind w:left="720"/>
      <w:contextualSpacing/>
    </w:pPr>
  </w:style>
  <w:style w:type="paragraph" w:styleId="Textoindependiente">
    <w:name w:val="Body Text"/>
    <w:basedOn w:val="Normal"/>
    <w:link w:val="TextoindependienteCar"/>
    <w:uiPriority w:val="99"/>
    <w:semiHidden/>
    <w:unhideWhenUsed/>
    <w:rsid w:val="005B7A12"/>
    <w:pPr>
      <w:spacing w:after="120"/>
    </w:pPr>
  </w:style>
  <w:style w:type="character" w:customStyle="1" w:styleId="TextoindependienteCar">
    <w:name w:val="Texto independiente Car"/>
    <w:basedOn w:val="Fuentedeprrafopredeter"/>
    <w:link w:val="Textoindependiente"/>
    <w:uiPriority w:val="99"/>
    <w:semiHidden/>
    <w:rsid w:val="005B7A12"/>
  </w:style>
  <w:style w:type="character" w:styleId="Hipervnculo">
    <w:name w:val="Hyperlink"/>
    <w:basedOn w:val="Fuentedeprrafopredeter"/>
    <w:uiPriority w:val="99"/>
    <w:unhideWhenUsed/>
    <w:rsid w:val="000C0E32"/>
    <w:rPr>
      <w:color w:val="0563C1" w:themeColor="hyperlink"/>
      <w:u w:val="single"/>
    </w:rPr>
  </w:style>
  <w:style w:type="character" w:styleId="Hipervnculovisitado">
    <w:name w:val="FollowedHyperlink"/>
    <w:basedOn w:val="Fuentedeprrafopredeter"/>
    <w:uiPriority w:val="99"/>
    <w:semiHidden/>
    <w:unhideWhenUsed/>
    <w:rsid w:val="000C0E32"/>
    <w:rPr>
      <w:color w:val="954F72" w:themeColor="followedHyperlink"/>
      <w:u w:val="single"/>
    </w:rPr>
  </w:style>
  <w:style w:type="character" w:customStyle="1" w:styleId="Ttulo1Car">
    <w:name w:val="Título 1 Car"/>
    <w:basedOn w:val="Fuentedeprrafopredeter"/>
    <w:link w:val="Ttulo1"/>
    <w:rsid w:val="00A035EE"/>
    <w:rPr>
      <w:b/>
    </w:rPr>
  </w:style>
  <w:style w:type="table" w:styleId="Tablaconcuadrcula">
    <w:name w:val="Table Grid"/>
    <w:basedOn w:val="Tablanormal"/>
    <w:uiPriority w:val="39"/>
    <w:rsid w:val="00737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60F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0F7F"/>
    <w:rPr>
      <w:rFonts w:ascii="Segoe UI" w:hAnsi="Segoe UI" w:cs="Segoe UI"/>
      <w:sz w:val="18"/>
      <w:szCs w:val="18"/>
    </w:rPr>
  </w:style>
  <w:style w:type="character" w:styleId="Refdecomentario">
    <w:name w:val="annotation reference"/>
    <w:basedOn w:val="Fuentedeprrafopredeter"/>
    <w:uiPriority w:val="99"/>
    <w:semiHidden/>
    <w:unhideWhenUsed/>
    <w:rsid w:val="00760F7F"/>
    <w:rPr>
      <w:sz w:val="16"/>
      <w:szCs w:val="16"/>
    </w:rPr>
  </w:style>
  <w:style w:type="paragraph" w:styleId="Textocomentario">
    <w:name w:val="annotation text"/>
    <w:basedOn w:val="Normal"/>
    <w:link w:val="TextocomentarioCar"/>
    <w:uiPriority w:val="99"/>
    <w:semiHidden/>
    <w:unhideWhenUsed/>
    <w:rsid w:val="00760F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0F7F"/>
    <w:rPr>
      <w:sz w:val="20"/>
      <w:szCs w:val="20"/>
    </w:rPr>
  </w:style>
  <w:style w:type="paragraph" w:styleId="Asuntodelcomentario">
    <w:name w:val="annotation subject"/>
    <w:basedOn w:val="Textocomentario"/>
    <w:next w:val="Textocomentario"/>
    <w:link w:val="AsuntodelcomentarioCar"/>
    <w:uiPriority w:val="99"/>
    <w:semiHidden/>
    <w:unhideWhenUsed/>
    <w:rsid w:val="00760F7F"/>
    <w:rPr>
      <w:b/>
      <w:bCs/>
    </w:rPr>
  </w:style>
  <w:style w:type="character" w:customStyle="1" w:styleId="AsuntodelcomentarioCar">
    <w:name w:val="Asunto del comentario Car"/>
    <w:basedOn w:val="TextocomentarioCar"/>
    <w:link w:val="Asuntodelcomentario"/>
    <w:uiPriority w:val="99"/>
    <w:semiHidden/>
    <w:rsid w:val="00760F7F"/>
    <w:rPr>
      <w:b/>
      <w:bCs/>
      <w:sz w:val="20"/>
      <w:szCs w:val="20"/>
    </w:rPr>
  </w:style>
  <w:style w:type="paragraph" w:styleId="Revisin">
    <w:name w:val="Revision"/>
    <w:hidden/>
    <w:uiPriority w:val="99"/>
    <w:semiHidden/>
    <w:rsid w:val="006438F0"/>
    <w:pPr>
      <w:spacing w:after="0" w:line="240" w:lineRule="auto"/>
    </w:pPr>
  </w:style>
  <w:style w:type="character" w:styleId="Mencinsinresolver">
    <w:name w:val="Unresolved Mention"/>
    <w:basedOn w:val="Fuentedeprrafopredeter"/>
    <w:uiPriority w:val="99"/>
    <w:semiHidden/>
    <w:unhideWhenUsed/>
    <w:rsid w:val="00710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822401">
      <w:bodyDiv w:val="1"/>
      <w:marLeft w:val="0"/>
      <w:marRight w:val="0"/>
      <w:marTop w:val="0"/>
      <w:marBottom w:val="0"/>
      <w:divBdr>
        <w:top w:val="none" w:sz="0" w:space="0" w:color="auto"/>
        <w:left w:val="none" w:sz="0" w:space="0" w:color="auto"/>
        <w:bottom w:val="none" w:sz="0" w:space="0" w:color="auto"/>
        <w:right w:val="none" w:sz="0" w:space="0" w:color="auto"/>
      </w:divBdr>
    </w:div>
    <w:div w:id="1853564748">
      <w:bodyDiv w:val="1"/>
      <w:marLeft w:val="0"/>
      <w:marRight w:val="0"/>
      <w:marTop w:val="0"/>
      <w:marBottom w:val="0"/>
      <w:divBdr>
        <w:top w:val="none" w:sz="0" w:space="0" w:color="auto"/>
        <w:left w:val="none" w:sz="0" w:space="0" w:color="auto"/>
        <w:bottom w:val="none" w:sz="0" w:space="0" w:color="auto"/>
        <w:right w:val="none" w:sz="0" w:space="0" w:color="auto"/>
      </w:divBdr>
      <w:divsChild>
        <w:div w:id="1749109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resources/distance-calculator_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EfqQPAfpLpbXSmB76"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7C26E49-8600-40BB-A1CE-DD2F13A3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10</Pages>
  <Words>2166</Words>
  <Characters>11915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Luis Vidal</dc:creator>
  <cp:keywords/>
  <dc:description/>
  <cp:lastModifiedBy>Juan Luis Vidal</cp:lastModifiedBy>
  <cp:revision>9</cp:revision>
  <cp:lastPrinted>2020-12-15T16:50:00Z</cp:lastPrinted>
  <dcterms:created xsi:type="dcterms:W3CDTF">2022-09-08T10:59:00Z</dcterms:created>
  <dcterms:modified xsi:type="dcterms:W3CDTF">2023-10-17T15:07:00Z</dcterms:modified>
</cp:coreProperties>
</file>